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898B7" w14:textId="0A68EBF3" w:rsidR="00C16956" w:rsidRPr="00C16956" w:rsidRDefault="00C16956" w:rsidP="00C16956">
      <w:pPr>
        <w:spacing w:after="0" w:line="240" w:lineRule="auto"/>
        <w:rPr>
          <w:rFonts w:ascii="Times New Roman" w:eastAsia="Times New Roman" w:hAnsi="Times New Roman" w:cs="Times New Roman"/>
          <w:b/>
          <w:kern w:val="0"/>
          <w:sz w:val="20"/>
          <w:szCs w:val="20"/>
          <w:lang w:eastAsia="el-GR"/>
          <w14:ligatures w14:val="none"/>
        </w:rPr>
      </w:pPr>
      <w:bookmarkStart w:id="0" w:name="_GoBack"/>
      <w:bookmarkEnd w:id="0"/>
      <w:r>
        <w:rPr>
          <w:rFonts w:ascii="Times New Roman" w:eastAsia="Times New Roman" w:hAnsi="Times New Roman" w:cs="Times New Roman"/>
          <w:b/>
          <w:kern w:val="0"/>
          <w:sz w:val="20"/>
          <w:szCs w:val="20"/>
          <w:lang w:eastAsia="el-GR"/>
          <w14:ligatures w14:val="none"/>
        </w:rPr>
        <w:t xml:space="preserve">                            </w:t>
      </w:r>
      <w:r w:rsidRPr="00C16956">
        <w:rPr>
          <w:rFonts w:ascii="Times New Roman" w:eastAsia="Times New Roman" w:hAnsi="Times New Roman" w:cs="Times New Roman"/>
          <w:b/>
          <w:kern w:val="0"/>
          <w:sz w:val="20"/>
          <w:szCs w:val="20"/>
          <w:lang w:eastAsia="el-GR"/>
          <w14:ligatures w14:val="none"/>
        </w:rPr>
        <w:t>ΕΝΩΣΗ</w:t>
      </w:r>
    </w:p>
    <w:p w14:paraId="26675C27" w14:textId="77777777" w:rsidR="00C16956" w:rsidRPr="00C16956" w:rsidRDefault="00C16956" w:rsidP="00C16956">
      <w:pPr>
        <w:spacing w:after="0" w:line="240" w:lineRule="auto"/>
        <w:rPr>
          <w:rFonts w:ascii="Times New Roman" w:eastAsia="Times New Roman" w:hAnsi="Times New Roman" w:cs="Times New Roman"/>
          <w:b/>
          <w:kern w:val="0"/>
          <w:sz w:val="20"/>
          <w:szCs w:val="20"/>
          <w:lang w:eastAsia="el-GR"/>
          <w14:ligatures w14:val="none"/>
        </w:rPr>
      </w:pPr>
      <w:r w:rsidRPr="00C16956">
        <w:rPr>
          <w:rFonts w:ascii="Times New Roman" w:eastAsia="Times New Roman" w:hAnsi="Times New Roman" w:cs="Times New Roman"/>
          <w:b/>
          <w:kern w:val="0"/>
          <w:sz w:val="20"/>
          <w:szCs w:val="20"/>
          <w:lang w:eastAsia="el-GR"/>
          <w14:ligatures w14:val="none"/>
        </w:rPr>
        <w:t xml:space="preserve">       ΔΙΚΑΣΤΩΝ  &amp;  ΕΙΣΑΓΓΕΛΕΩΝ</w:t>
      </w:r>
      <w:r w:rsidRPr="00C16956">
        <w:rPr>
          <w:rFonts w:ascii="Times New Roman" w:eastAsia="Times New Roman" w:hAnsi="Times New Roman" w:cs="Times New Roman"/>
          <w:b/>
          <w:kern w:val="0"/>
          <w:sz w:val="20"/>
          <w:szCs w:val="20"/>
          <w:lang w:eastAsia="el-GR"/>
          <w14:ligatures w14:val="none"/>
        </w:rPr>
        <w:tab/>
      </w:r>
      <w:r w:rsidRPr="00C16956">
        <w:rPr>
          <w:rFonts w:ascii="Times New Roman" w:eastAsia="Times New Roman" w:hAnsi="Times New Roman" w:cs="Times New Roman"/>
          <w:b/>
          <w:kern w:val="0"/>
          <w:sz w:val="20"/>
          <w:szCs w:val="20"/>
          <w:lang w:eastAsia="el-GR"/>
          <w14:ligatures w14:val="none"/>
        </w:rPr>
        <w:tab/>
      </w:r>
      <w:r w:rsidRPr="00C16956">
        <w:rPr>
          <w:rFonts w:ascii="Times New Roman" w:eastAsia="Times New Roman" w:hAnsi="Times New Roman" w:cs="Times New Roman"/>
          <w:b/>
          <w:kern w:val="0"/>
          <w:sz w:val="20"/>
          <w:szCs w:val="20"/>
          <w:lang w:eastAsia="el-GR"/>
          <w14:ligatures w14:val="none"/>
        </w:rPr>
        <w:tab/>
      </w:r>
    </w:p>
    <w:p w14:paraId="66471C6E" w14:textId="77777777" w:rsidR="00C16956" w:rsidRPr="00C16956" w:rsidRDefault="00C16956" w:rsidP="00C16956">
      <w:pPr>
        <w:spacing w:after="0" w:line="240" w:lineRule="auto"/>
        <w:rPr>
          <w:rFonts w:ascii="Times New Roman" w:eastAsia="Times New Roman" w:hAnsi="Times New Roman" w:cs="Times New Roman"/>
          <w:kern w:val="0"/>
          <w:sz w:val="20"/>
          <w:szCs w:val="20"/>
          <w:lang w:eastAsia="el-GR"/>
          <w14:ligatures w14:val="none"/>
        </w:rPr>
      </w:pPr>
      <w:r w:rsidRPr="00C16956">
        <w:rPr>
          <w:rFonts w:ascii="Times New Roman" w:eastAsia="Times New Roman" w:hAnsi="Times New Roman" w:cs="Times New Roman"/>
          <w:kern w:val="0"/>
          <w:sz w:val="20"/>
          <w:szCs w:val="20"/>
          <w:lang w:eastAsia="el-GR"/>
          <w14:ligatures w14:val="none"/>
        </w:rPr>
        <w:t xml:space="preserve">              ΠΡΩΤΟΔΙΚΕΙΟ ΑΘΗΝΩΝ</w:t>
      </w:r>
    </w:p>
    <w:p w14:paraId="511AA71D" w14:textId="77777777" w:rsidR="00C16956" w:rsidRPr="00C16956" w:rsidRDefault="00C16956" w:rsidP="00C16956">
      <w:pPr>
        <w:spacing w:after="0" w:line="240" w:lineRule="auto"/>
        <w:rPr>
          <w:rFonts w:ascii="Times New Roman" w:eastAsia="Times New Roman" w:hAnsi="Times New Roman" w:cs="Times New Roman"/>
          <w:kern w:val="0"/>
          <w:sz w:val="20"/>
          <w:szCs w:val="20"/>
          <w:lang w:eastAsia="el-GR"/>
          <w14:ligatures w14:val="none"/>
        </w:rPr>
      </w:pPr>
      <w:r w:rsidRPr="00C16956">
        <w:rPr>
          <w:rFonts w:ascii="Times New Roman" w:eastAsia="Times New Roman" w:hAnsi="Times New Roman" w:cs="Times New Roman"/>
          <w:kern w:val="0"/>
          <w:sz w:val="20"/>
          <w:szCs w:val="20"/>
          <w:lang w:eastAsia="el-GR"/>
          <w14:ligatures w14:val="none"/>
        </w:rPr>
        <w:t xml:space="preserve">           (ΠΡΩΗΝ ΣΧΟΛΗ ΕΥΕΛΠΙΔΩΝ)</w:t>
      </w:r>
    </w:p>
    <w:p w14:paraId="0689E6BE" w14:textId="77777777" w:rsidR="00C16956" w:rsidRPr="00C16956" w:rsidRDefault="00C16956" w:rsidP="00C16956">
      <w:pPr>
        <w:spacing w:after="0" w:line="240" w:lineRule="auto"/>
        <w:rPr>
          <w:rFonts w:ascii="Times New Roman" w:eastAsia="Times New Roman" w:hAnsi="Times New Roman" w:cs="Times New Roman"/>
          <w:kern w:val="0"/>
          <w:sz w:val="20"/>
          <w:szCs w:val="20"/>
          <w:lang w:eastAsia="el-GR"/>
          <w14:ligatures w14:val="none"/>
        </w:rPr>
      </w:pPr>
      <w:r w:rsidRPr="00C16956">
        <w:rPr>
          <w:rFonts w:ascii="Times New Roman" w:eastAsia="Times New Roman" w:hAnsi="Times New Roman" w:cs="Times New Roman"/>
          <w:kern w:val="0"/>
          <w:sz w:val="20"/>
          <w:szCs w:val="20"/>
          <w:lang w:eastAsia="el-GR"/>
          <w14:ligatures w14:val="none"/>
        </w:rPr>
        <w:t xml:space="preserve">                 ΚΤΙΡΙΟ 6 –ΓΡΑΦΕΙΟ 210 </w:t>
      </w:r>
    </w:p>
    <w:p w14:paraId="7365CD61" w14:textId="1379F52C" w:rsidR="00C16956" w:rsidRPr="00C16956" w:rsidRDefault="00C16956" w:rsidP="00C16956">
      <w:pPr>
        <w:spacing w:after="0" w:line="240" w:lineRule="auto"/>
        <w:ind w:left="720"/>
        <w:rPr>
          <w:rFonts w:ascii="Times New Roman" w:eastAsia="Times New Roman" w:hAnsi="Times New Roman" w:cs="Times New Roman"/>
          <w:kern w:val="0"/>
          <w:sz w:val="20"/>
          <w:szCs w:val="20"/>
          <w:lang w:eastAsia="el-GR"/>
          <w14:ligatures w14:val="none"/>
        </w:rPr>
      </w:pPr>
      <w:r w:rsidRPr="00C16956">
        <w:rPr>
          <w:rFonts w:ascii="Times New Roman" w:eastAsia="Times New Roman" w:hAnsi="Times New Roman" w:cs="Times New Roman"/>
          <w:kern w:val="0"/>
          <w:sz w:val="20"/>
          <w:szCs w:val="20"/>
          <w:lang w:eastAsia="el-GR"/>
          <w14:ligatures w14:val="none"/>
        </w:rPr>
        <w:t xml:space="preserve">      ΤΗΛ: 213 215</w:t>
      </w:r>
      <w:r w:rsidR="00711675">
        <w:rPr>
          <w:rFonts w:ascii="Times New Roman" w:eastAsia="Times New Roman" w:hAnsi="Times New Roman" w:cs="Times New Roman"/>
          <w:kern w:val="0"/>
          <w:sz w:val="20"/>
          <w:szCs w:val="20"/>
          <w:lang w:eastAsia="el-GR"/>
          <w14:ligatures w14:val="none"/>
        </w:rPr>
        <w:t xml:space="preserve"> </w:t>
      </w:r>
      <w:r w:rsidRPr="00C16956">
        <w:rPr>
          <w:rFonts w:ascii="Times New Roman" w:eastAsia="Times New Roman" w:hAnsi="Times New Roman" w:cs="Times New Roman"/>
          <w:kern w:val="0"/>
          <w:sz w:val="20"/>
          <w:szCs w:val="20"/>
          <w:lang w:eastAsia="el-GR"/>
          <w14:ligatures w14:val="none"/>
        </w:rPr>
        <w:t xml:space="preserve">6114  </w:t>
      </w:r>
    </w:p>
    <w:p w14:paraId="0604C9DB" w14:textId="38D81472" w:rsidR="00C16956" w:rsidRPr="00C16956" w:rsidRDefault="00C16956" w:rsidP="00C16956">
      <w:pPr>
        <w:spacing w:after="0" w:line="240" w:lineRule="auto"/>
        <w:ind w:firstLine="720"/>
        <w:rPr>
          <w:rFonts w:ascii="Times New Roman" w:eastAsia="Times New Roman" w:hAnsi="Times New Roman" w:cs="Times New Roman"/>
          <w:kern w:val="0"/>
          <w:sz w:val="20"/>
          <w:szCs w:val="20"/>
          <w:lang w:eastAsia="el-GR"/>
          <w14:ligatures w14:val="none"/>
        </w:rPr>
      </w:pPr>
      <w:r w:rsidRPr="00C16956">
        <w:rPr>
          <w:rFonts w:ascii="Times New Roman" w:eastAsia="Times New Roman" w:hAnsi="Times New Roman" w:cs="Times New Roman"/>
          <w:kern w:val="0"/>
          <w:sz w:val="20"/>
          <w:szCs w:val="20"/>
          <w:lang w:eastAsia="el-GR"/>
          <w14:ligatures w14:val="none"/>
        </w:rPr>
        <w:t xml:space="preserve">     </w:t>
      </w:r>
      <w:proofErr w:type="spellStart"/>
      <w:r w:rsidRPr="00C16956">
        <w:rPr>
          <w:rFonts w:ascii="Times New Roman" w:eastAsia="Times New Roman" w:hAnsi="Times New Roman" w:cs="Times New Roman"/>
          <w:kern w:val="0"/>
          <w:sz w:val="20"/>
          <w:szCs w:val="20"/>
          <w:lang w:val="de-DE" w:eastAsia="el-GR"/>
          <w14:ligatures w14:val="none"/>
        </w:rPr>
        <w:t>endikeis</w:t>
      </w:r>
      <w:proofErr w:type="spellEnd"/>
      <w:r w:rsidRPr="00C16956">
        <w:rPr>
          <w:rFonts w:ascii="Times New Roman" w:eastAsia="Times New Roman" w:hAnsi="Times New Roman" w:cs="Times New Roman"/>
          <w:kern w:val="0"/>
          <w:sz w:val="20"/>
          <w:szCs w:val="20"/>
          <w:lang w:eastAsia="el-GR"/>
          <w14:ligatures w14:val="none"/>
        </w:rPr>
        <w:t>@</w:t>
      </w:r>
      <w:proofErr w:type="spellStart"/>
      <w:r w:rsidRPr="00C16956">
        <w:rPr>
          <w:rFonts w:ascii="Times New Roman" w:eastAsia="Times New Roman" w:hAnsi="Times New Roman" w:cs="Times New Roman"/>
          <w:kern w:val="0"/>
          <w:sz w:val="20"/>
          <w:szCs w:val="20"/>
          <w:lang w:val="de-DE" w:eastAsia="el-GR"/>
          <w14:ligatures w14:val="none"/>
        </w:rPr>
        <w:t>otenet</w:t>
      </w:r>
      <w:proofErr w:type="spellEnd"/>
      <w:r w:rsidRPr="00C16956">
        <w:rPr>
          <w:rFonts w:ascii="Times New Roman" w:eastAsia="Times New Roman" w:hAnsi="Times New Roman" w:cs="Times New Roman"/>
          <w:kern w:val="0"/>
          <w:sz w:val="20"/>
          <w:szCs w:val="20"/>
          <w:lang w:eastAsia="el-GR"/>
          <w14:ligatures w14:val="none"/>
        </w:rPr>
        <w:t>.</w:t>
      </w:r>
      <w:proofErr w:type="spellStart"/>
      <w:r w:rsidRPr="00C16956">
        <w:rPr>
          <w:rFonts w:ascii="Times New Roman" w:eastAsia="Times New Roman" w:hAnsi="Times New Roman" w:cs="Times New Roman"/>
          <w:kern w:val="0"/>
          <w:sz w:val="20"/>
          <w:szCs w:val="20"/>
          <w:lang w:val="de-DE" w:eastAsia="el-GR"/>
          <w14:ligatures w14:val="none"/>
        </w:rPr>
        <w:t>gr</w:t>
      </w:r>
      <w:proofErr w:type="spellEnd"/>
      <w:r w:rsidRPr="00C16956">
        <w:rPr>
          <w:rFonts w:ascii="Times New Roman" w:eastAsia="Times New Roman" w:hAnsi="Times New Roman" w:cs="Times New Roman"/>
          <w:kern w:val="0"/>
          <w:sz w:val="20"/>
          <w:szCs w:val="20"/>
          <w:lang w:eastAsia="el-GR"/>
          <w14:ligatures w14:val="none"/>
        </w:rPr>
        <w:t xml:space="preserve">                     </w:t>
      </w:r>
    </w:p>
    <w:p w14:paraId="4B7BF88E" w14:textId="7D9B5F22" w:rsidR="00C16956" w:rsidRPr="00C16956" w:rsidRDefault="00C16956" w:rsidP="00C16956">
      <w:pPr>
        <w:spacing w:after="0" w:line="240" w:lineRule="auto"/>
        <w:jc w:val="right"/>
        <w:rPr>
          <w:rFonts w:ascii="Times New Roman" w:eastAsia="Calibri" w:hAnsi="Times New Roman" w:cs="Times New Roman"/>
          <w:kern w:val="0"/>
          <w:lang w:eastAsia="el-GR"/>
          <w14:ligatures w14:val="none"/>
        </w:rPr>
      </w:pPr>
      <w:r w:rsidRPr="00C16956">
        <w:rPr>
          <w:rFonts w:ascii="Times New Roman" w:eastAsia="Calibri" w:hAnsi="Times New Roman" w:cs="Times New Roman"/>
          <w:kern w:val="0"/>
          <w:lang w:eastAsia="el-GR"/>
          <w14:ligatures w14:val="none"/>
        </w:rPr>
        <w:t>Αθήνα 1</w:t>
      </w:r>
      <w:r w:rsidR="00F44002">
        <w:rPr>
          <w:rFonts w:ascii="Times New Roman" w:eastAsia="Calibri" w:hAnsi="Times New Roman" w:cs="Times New Roman"/>
          <w:kern w:val="0"/>
          <w:lang w:eastAsia="el-GR"/>
          <w14:ligatures w14:val="none"/>
        </w:rPr>
        <w:t>6</w:t>
      </w:r>
      <w:r w:rsidRPr="00C16956">
        <w:rPr>
          <w:rFonts w:ascii="Times New Roman" w:eastAsia="Calibri" w:hAnsi="Times New Roman" w:cs="Times New Roman"/>
          <w:kern w:val="0"/>
          <w:lang w:eastAsia="el-GR"/>
          <w14:ligatures w14:val="none"/>
        </w:rPr>
        <w:t>-9-2026</w:t>
      </w:r>
    </w:p>
    <w:p w14:paraId="686BF9D0" w14:textId="2A1016AE" w:rsidR="00C16956" w:rsidRDefault="00C16956" w:rsidP="00C16956">
      <w:pPr>
        <w:spacing w:after="0" w:line="240" w:lineRule="auto"/>
        <w:jc w:val="right"/>
        <w:rPr>
          <w:rFonts w:ascii="Times New Roman" w:eastAsia="Calibri" w:hAnsi="Times New Roman" w:cs="Times New Roman"/>
          <w:kern w:val="0"/>
          <w:lang w:eastAsia="el-GR"/>
          <w14:ligatures w14:val="none"/>
        </w:rPr>
      </w:pPr>
      <w:r w:rsidRPr="00C16956">
        <w:rPr>
          <w:rFonts w:ascii="Times New Roman" w:eastAsia="Calibri" w:hAnsi="Times New Roman" w:cs="Times New Roman"/>
          <w:kern w:val="0"/>
          <w:lang w:eastAsia="el-GR"/>
          <w14:ligatures w14:val="none"/>
        </w:rPr>
        <w:t xml:space="preserve">                                             </w:t>
      </w:r>
      <w:proofErr w:type="spellStart"/>
      <w:r w:rsidRPr="00C16956">
        <w:rPr>
          <w:rFonts w:ascii="Times New Roman" w:eastAsia="Calibri" w:hAnsi="Times New Roman" w:cs="Times New Roman"/>
          <w:kern w:val="0"/>
          <w:lang w:eastAsia="el-GR"/>
          <w14:ligatures w14:val="none"/>
        </w:rPr>
        <w:t>Αρ</w:t>
      </w:r>
      <w:proofErr w:type="spellEnd"/>
      <w:r w:rsidRPr="00C16956">
        <w:rPr>
          <w:rFonts w:ascii="Times New Roman" w:eastAsia="Calibri" w:hAnsi="Times New Roman" w:cs="Times New Roman"/>
          <w:kern w:val="0"/>
          <w:lang w:eastAsia="el-GR"/>
          <w14:ligatures w14:val="none"/>
        </w:rPr>
        <w:t xml:space="preserve">. </w:t>
      </w:r>
      <w:proofErr w:type="spellStart"/>
      <w:r w:rsidRPr="00C16956">
        <w:rPr>
          <w:rFonts w:ascii="Times New Roman" w:eastAsia="Calibri" w:hAnsi="Times New Roman" w:cs="Times New Roman"/>
          <w:kern w:val="0"/>
          <w:lang w:eastAsia="el-GR"/>
          <w14:ligatures w14:val="none"/>
        </w:rPr>
        <w:t>πρωτ</w:t>
      </w:r>
      <w:proofErr w:type="spellEnd"/>
      <w:r w:rsidRPr="00C16956">
        <w:rPr>
          <w:rFonts w:ascii="Times New Roman" w:eastAsia="Calibri" w:hAnsi="Times New Roman" w:cs="Times New Roman"/>
          <w:kern w:val="0"/>
          <w:lang w:eastAsia="el-GR"/>
          <w14:ligatures w14:val="none"/>
        </w:rPr>
        <w:t xml:space="preserve">.: </w:t>
      </w:r>
      <w:r w:rsidR="00F44002">
        <w:rPr>
          <w:rFonts w:ascii="Times New Roman" w:eastAsia="Calibri" w:hAnsi="Times New Roman" w:cs="Times New Roman"/>
          <w:kern w:val="0"/>
          <w:lang w:eastAsia="el-GR"/>
          <w14:ligatures w14:val="none"/>
        </w:rPr>
        <w:t>313</w:t>
      </w:r>
    </w:p>
    <w:p w14:paraId="4CC8BEAD" w14:textId="77777777" w:rsidR="00C16956" w:rsidRDefault="00C16956" w:rsidP="00C16956">
      <w:pPr>
        <w:spacing w:after="0" w:line="240" w:lineRule="auto"/>
        <w:jc w:val="right"/>
        <w:rPr>
          <w:rFonts w:ascii="Times New Roman" w:eastAsia="Calibri" w:hAnsi="Times New Roman" w:cs="Times New Roman"/>
          <w:kern w:val="0"/>
          <w:lang w:eastAsia="el-GR"/>
          <w14:ligatures w14:val="none"/>
        </w:rPr>
      </w:pPr>
    </w:p>
    <w:p w14:paraId="2851B015" w14:textId="77777777" w:rsidR="00C62435" w:rsidRPr="00C16956" w:rsidRDefault="00C62435" w:rsidP="00C16956">
      <w:pPr>
        <w:spacing w:after="0" w:line="240" w:lineRule="auto"/>
        <w:jc w:val="right"/>
        <w:rPr>
          <w:rFonts w:ascii="Times New Roman" w:eastAsia="Calibri" w:hAnsi="Times New Roman" w:cs="Times New Roman"/>
          <w:kern w:val="0"/>
          <w:lang w:eastAsia="el-GR"/>
          <w14:ligatures w14:val="none"/>
        </w:rPr>
      </w:pPr>
    </w:p>
    <w:p w14:paraId="231E6615" w14:textId="1EDE2527" w:rsidR="00F44002" w:rsidRPr="00F44002" w:rsidRDefault="00F44002" w:rsidP="00F44002">
      <w:pPr>
        <w:spacing w:line="360" w:lineRule="auto"/>
        <w:ind w:firstLine="720"/>
        <w:jc w:val="center"/>
        <w:rPr>
          <w:rFonts w:ascii="Times New Roman" w:hAnsi="Times New Roman" w:cs="Times New Roman"/>
          <w:b/>
          <w:bCs/>
          <w:sz w:val="24"/>
          <w:szCs w:val="24"/>
        </w:rPr>
      </w:pPr>
      <w:r w:rsidRPr="00F44002">
        <w:rPr>
          <w:rFonts w:ascii="Times New Roman" w:hAnsi="Times New Roman" w:cs="Times New Roman"/>
          <w:b/>
          <w:bCs/>
          <w:sz w:val="24"/>
          <w:szCs w:val="24"/>
        </w:rPr>
        <w:t>Υποβάλαμε χθες, 15 Σεπτεμβρίου, το παρακάτω αίτημα για νομοθετική παρέμβαση στον κ. Υπουργό Δικαιοσύνης</w:t>
      </w:r>
    </w:p>
    <w:p w14:paraId="5C916A60" w14:textId="77777777" w:rsidR="00F44002" w:rsidRPr="00291CF0" w:rsidRDefault="00F44002" w:rsidP="00F4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Segoe UI" w:hAnsi="Segoe UI" w:cs="Segoe UI"/>
          <w:b/>
        </w:rPr>
      </w:pPr>
      <w:r w:rsidRPr="00291CF0">
        <w:rPr>
          <w:rFonts w:ascii="Segoe UI" w:hAnsi="Segoe UI" w:cs="Segoe UI"/>
          <w:b/>
        </w:rPr>
        <w:t>ΑΝΑΒΙΩΣΗ - ΕΠΙΚΑΙΡΟΠΟΙΗΣΗ ΤΗΣ ΕΞΑΙΡΕΣΗΣ ΩΣ ΠΡΟΣ ΤΗΝ ΥΠΟΧΡΕΩΤΙΚΗ ΠΑΡΑΣΤΑΣΗ ΤΩΝ ΔΙΚΗΓΟΡΩΝ ΣΤΑ ΣΥΜΒΟΛΑΙΑ ΓΙΑ ΔΙΚΑΣΤΕΣ ΚΑΙ ΕΙΣΑΓΓΕΛΕΙΣ</w:t>
      </w:r>
    </w:p>
    <w:p w14:paraId="51AADC4F" w14:textId="77777777" w:rsidR="00F44002" w:rsidRPr="00291CF0" w:rsidRDefault="00F44002" w:rsidP="00F4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Segoe UI" w:hAnsi="Segoe UI" w:cs="Segoe UI"/>
          <w:b/>
        </w:rPr>
      </w:pPr>
    </w:p>
    <w:p w14:paraId="22D2B112" w14:textId="77777777" w:rsidR="00F44002" w:rsidRPr="00791C57" w:rsidRDefault="00F44002" w:rsidP="00F4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Segoe UI" w:eastAsia="Times New Roman" w:hAnsi="Segoe UI" w:cs="Segoe UI"/>
          <w:sz w:val="20"/>
          <w:szCs w:val="20"/>
          <w:lang w:eastAsia="el-GR"/>
        </w:rPr>
      </w:pPr>
      <w:r>
        <w:rPr>
          <w:rFonts w:ascii="Segoe UI" w:hAnsi="Segoe UI" w:cs="Segoe UI"/>
        </w:rPr>
        <w:tab/>
      </w:r>
      <w:r w:rsidRPr="00CC4C54">
        <w:rPr>
          <w:rFonts w:ascii="Segoe UI" w:hAnsi="Segoe UI" w:cs="Segoe UI"/>
        </w:rPr>
        <w:t xml:space="preserve">Στο άρθρο 42 του </w:t>
      </w:r>
      <w:proofErr w:type="spellStart"/>
      <w:r w:rsidRPr="00CC4C54">
        <w:rPr>
          <w:rFonts w:ascii="Segoe UI" w:hAnsi="Segoe UI" w:cs="Segoe UI"/>
        </w:rPr>
        <w:t>ν.δ.</w:t>
      </w:r>
      <w:proofErr w:type="spellEnd"/>
      <w:r w:rsidRPr="00CC4C54">
        <w:rPr>
          <w:rFonts w:ascii="Segoe UI" w:hAnsi="Segoe UI" w:cs="Segoe UI"/>
        </w:rPr>
        <w:t xml:space="preserve"> 3026/1965 (Κώδικας περί Δικηγόρων),</w:t>
      </w:r>
      <w:r>
        <w:rPr>
          <w:rFonts w:ascii="Segoe UI" w:hAnsi="Segoe UI" w:cs="Segoe UI"/>
        </w:rPr>
        <w:t xml:space="preserve"> με τη μορφή που ίσχυσε</w:t>
      </w:r>
      <w:r w:rsidRPr="00CC4C54">
        <w:rPr>
          <w:rFonts w:ascii="Segoe UI" w:hAnsi="Segoe UI" w:cs="Segoe UI"/>
        </w:rPr>
        <w:t xml:space="preserve"> μέχρι την 31.12.2013 οριζόταν ότι «Για τη σύνταξη εγγράφου ενώπιον συμβολαιογράφου, με αντικείμενο την από επαχθή αιτία σύσταση, μετάθεση, αλλοίωση, τροποποίηση ή κατάργηση εμπραγμάτων δικαιωμάτων σε ακίνητα (εκτός από την εξάλειψη υποθηκών και προσημειώσεων), </w:t>
      </w:r>
      <w:r w:rsidRPr="005A4676">
        <w:rPr>
          <w:rFonts w:ascii="Segoe UI" w:hAnsi="Segoe UI" w:cs="Segoe UI"/>
          <w:b/>
          <w:i/>
        </w:rPr>
        <w:t>είναι υποχρεωτική η παράσταση δικηγόρου</w:t>
      </w:r>
      <w:r w:rsidRPr="00CC4C54">
        <w:rPr>
          <w:rFonts w:ascii="Segoe UI" w:hAnsi="Segoe UI" w:cs="Segoe UI"/>
        </w:rPr>
        <w:t xml:space="preserve"> μόνο για τον αποκτώντα το σχετικό δικαίωμα και εφόσον οι ανωτέρω συμβάσεις έχουν συνολικό αντικείμενο αξίας μεγαλύτερο των ογδόντα χιλιάδων (80.000) ευρώ, ανεξαρτήτως του τόπου στον οποίο βρίσκεται το ακίνητο. Στην περίπτωση αυτή γίνεται ειδική μνεία στο συμβόλαιο της παραστάσεως του δικηγόρου και επισυνάπτεται σε αυτό σχέδιο για τη σύμβαση, υπογεγραμμένο από αυτόν, με θεωρημένη την υπογραφή από τον οικείο Δικηγορικό Σύλλογο.  2. Ειδικότερα </w:t>
      </w:r>
      <w:r w:rsidRPr="005A4676">
        <w:rPr>
          <w:rFonts w:ascii="Segoe UI" w:hAnsi="Segoe UI" w:cs="Segoe UI"/>
          <w:b/>
          <w:i/>
        </w:rPr>
        <w:t>για τη σύμβαση διανομής ή ανταλλαγής και για συμβάσεις εκ χαριστικής αιτίας δεν απαιτείται παράσταση δικηγόρου</w:t>
      </w:r>
      <w:r w:rsidRPr="00CC4C54">
        <w:rPr>
          <w:rFonts w:ascii="Segoe UI" w:hAnsi="Segoe UI" w:cs="Segoe UI"/>
        </w:rPr>
        <w:t xml:space="preserve"> για κανένα από τα συμβαλλόμενα μέρη ανεξαρτήτως του χρόνου κατά τον οποίο συντάσσεται το συμβολαιογραφικό έγγραφο. </w:t>
      </w:r>
      <w:r w:rsidRPr="005A4676">
        <w:rPr>
          <w:rFonts w:ascii="Segoe UI" w:hAnsi="Segoe UI" w:cs="Segoe UI"/>
          <w:b/>
        </w:rPr>
        <w:t>3. Από 1.1.2014 η παράσταση δικηγόρου κατά τα οριζόμενα στην παράγραφο 1 είναι προαιρετική για όλα τα συμβαλλόμενα μέρη</w:t>
      </w:r>
      <w:r w:rsidRPr="00CC4C54">
        <w:rPr>
          <w:rFonts w:ascii="Segoe UI" w:hAnsi="Segoe UI" w:cs="Segoe UI"/>
        </w:rPr>
        <w:t>.»</w:t>
      </w:r>
      <w:r>
        <w:rPr>
          <w:rFonts w:ascii="Segoe UI" w:hAnsi="Segoe UI" w:cs="Segoe UI"/>
        </w:rPr>
        <w:t xml:space="preserve">. Επιπλέον, </w:t>
      </w:r>
      <w:r w:rsidRPr="00CC4C54">
        <w:rPr>
          <w:rFonts w:ascii="Segoe UI" w:hAnsi="Segoe UI" w:cs="Segoe UI"/>
        </w:rPr>
        <w:t xml:space="preserve"> </w:t>
      </w:r>
      <w:r>
        <w:rPr>
          <w:rFonts w:ascii="Segoe UI" w:hAnsi="Segoe UI" w:cs="Segoe UI"/>
        </w:rPr>
        <w:t>σ</w:t>
      </w:r>
      <w:r w:rsidRPr="00CC4C54">
        <w:rPr>
          <w:rFonts w:ascii="Segoe UI" w:hAnsi="Segoe UI" w:cs="Segoe UI"/>
        </w:rPr>
        <w:t xml:space="preserve">το </w:t>
      </w:r>
      <w:r>
        <w:rPr>
          <w:rFonts w:ascii="Segoe UI" w:hAnsi="Segoe UI" w:cs="Segoe UI"/>
        </w:rPr>
        <w:t xml:space="preserve">άρθρο </w:t>
      </w:r>
      <w:r w:rsidRPr="00CC4C54">
        <w:rPr>
          <w:rFonts w:ascii="Segoe UI" w:hAnsi="Segoe UI" w:cs="Segoe UI"/>
        </w:rPr>
        <w:t>11</w:t>
      </w:r>
      <w:r>
        <w:rPr>
          <w:rFonts w:ascii="Segoe UI" w:hAnsi="Segoe UI" w:cs="Segoe UI"/>
        </w:rPr>
        <w:t>παρ.7</w:t>
      </w:r>
      <w:r w:rsidRPr="00CC4C54">
        <w:rPr>
          <w:rFonts w:ascii="Segoe UI" w:hAnsi="Segoe UI" w:cs="Segoe UI"/>
        </w:rPr>
        <w:t xml:space="preserve"> ν. 2830/2000 (Κώδικα Συμβολαιογράφων)</w:t>
      </w:r>
      <w:r>
        <w:rPr>
          <w:rFonts w:ascii="Segoe UI" w:hAnsi="Segoe UI" w:cs="Segoe UI"/>
        </w:rPr>
        <w:t>,</w:t>
      </w:r>
      <w:r w:rsidRPr="00CC4C54">
        <w:rPr>
          <w:rFonts w:ascii="Segoe UI" w:hAnsi="Segoe UI" w:cs="Segoe UI"/>
        </w:rPr>
        <w:t xml:space="preserve"> </w:t>
      </w:r>
      <w:r>
        <w:rPr>
          <w:rFonts w:ascii="Segoe UI" w:hAnsi="Segoe UI" w:cs="Segoe UI"/>
        </w:rPr>
        <w:t>ως ισχύει μέχρι σήμερα, ορίζεται</w:t>
      </w:r>
      <w:r w:rsidRPr="00CC4C54">
        <w:rPr>
          <w:rFonts w:ascii="Segoe UI" w:hAnsi="Segoe UI" w:cs="Segoe UI"/>
        </w:rPr>
        <w:t xml:space="preserve"> ότι «</w:t>
      </w:r>
      <w:r w:rsidRPr="00791C57">
        <w:rPr>
          <w:rFonts w:ascii="Segoe UI" w:eastAsia="Times New Roman" w:hAnsi="Segoe UI" w:cs="Segoe UI"/>
          <w:sz w:val="20"/>
          <w:szCs w:val="20"/>
          <w:lang w:eastAsia="el-GR"/>
        </w:rPr>
        <w:t xml:space="preserve">7. Η διάταξη του </w:t>
      </w:r>
      <w:hyperlink r:id="rId4" w:history="1">
        <w:r w:rsidRPr="00CC4C54">
          <w:rPr>
            <w:rFonts w:ascii="Segoe UI" w:eastAsia="Times New Roman" w:hAnsi="Segoe UI" w:cs="Segoe UI"/>
            <w:bCs/>
            <w:sz w:val="20"/>
            <w:szCs w:val="20"/>
            <w:lang w:eastAsia="el-GR"/>
          </w:rPr>
          <w:t>άρθρου 42</w:t>
        </w:r>
      </w:hyperlink>
      <w:r w:rsidRPr="00791C57">
        <w:rPr>
          <w:rFonts w:ascii="Segoe UI" w:eastAsia="Times New Roman" w:hAnsi="Segoe UI" w:cs="Segoe UI"/>
          <w:sz w:val="20"/>
          <w:szCs w:val="20"/>
          <w:lang w:eastAsia="el-GR"/>
        </w:rPr>
        <w:t xml:space="preserve"> του Ν.Δ.</w:t>
      </w:r>
      <w:hyperlink r:id="rId5" w:history="1">
        <w:r w:rsidRPr="00CC4C54">
          <w:rPr>
            <w:rFonts w:ascii="Segoe UI" w:eastAsia="Times New Roman" w:hAnsi="Segoe UI" w:cs="Segoe UI"/>
            <w:bCs/>
            <w:sz w:val="20"/>
            <w:szCs w:val="20"/>
            <w:lang w:eastAsia="el-GR"/>
          </w:rPr>
          <w:t>3026/1954</w:t>
        </w:r>
      </w:hyperlink>
      <w:r w:rsidRPr="00791C57">
        <w:rPr>
          <w:rFonts w:ascii="Segoe UI" w:eastAsia="Times New Roman" w:hAnsi="Segoe UI" w:cs="Segoe UI"/>
          <w:sz w:val="20"/>
          <w:szCs w:val="20"/>
          <w:lang w:eastAsia="el-GR"/>
        </w:rPr>
        <w:t xml:space="preserve">, όπως ισχύει, </w:t>
      </w:r>
      <w:r w:rsidRPr="00791C57">
        <w:rPr>
          <w:rFonts w:ascii="Segoe UI" w:eastAsia="Times New Roman" w:hAnsi="Segoe UI" w:cs="Segoe UI"/>
          <w:b/>
          <w:i/>
          <w:sz w:val="20"/>
          <w:szCs w:val="20"/>
          <w:lang w:eastAsia="el-GR"/>
        </w:rPr>
        <w:t>δεν έχει</w:t>
      </w:r>
      <w:r w:rsidRPr="00CC4C54">
        <w:rPr>
          <w:rFonts w:ascii="Segoe UI" w:eastAsia="Times New Roman" w:hAnsi="Segoe UI" w:cs="Segoe UI"/>
          <w:b/>
          <w:i/>
          <w:sz w:val="20"/>
          <w:szCs w:val="20"/>
          <w:lang w:eastAsia="el-GR"/>
        </w:rPr>
        <w:t xml:space="preserve"> </w:t>
      </w:r>
      <w:r w:rsidRPr="00791C57">
        <w:rPr>
          <w:rFonts w:ascii="Segoe UI" w:eastAsia="Times New Roman" w:hAnsi="Segoe UI" w:cs="Segoe UI"/>
          <w:b/>
          <w:i/>
          <w:sz w:val="20"/>
          <w:szCs w:val="20"/>
          <w:lang w:eastAsia="el-GR"/>
        </w:rPr>
        <w:t>εφαρμογή σε δικαιοπραξίες για τον συμβαλλόμενο που έχει την ιδιότητα</w:t>
      </w:r>
      <w:r w:rsidRPr="00CC4C54">
        <w:rPr>
          <w:rFonts w:ascii="Segoe UI" w:eastAsia="Times New Roman" w:hAnsi="Segoe UI" w:cs="Segoe UI"/>
          <w:b/>
          <w:i/>
          <w:sz w:val="20"/>
          <w:szCs w:val="20"/>
          <w:lang w:eastAsia="el-GR"/>
        </w:rPr>
        <w:t xml:space="preserve"> </w:t>
      </w:r>
      <w:r w:rsidRPr="00791C57">
        <w:rPr>
          <w:rFonts w:ascii="Segoe UI" w:eastAsia="Times New Roman" w:hAnsi="Segoe UI" w:cs="Segoe UI"/>
          <w:b/>
          <w:i/>
          <w:sz w:val="20"/>
          <w:szCs w:val="20"/>
          <w:lang w:eastAsia="el-GR"/>
        </w:rPr>
        <w:t>δικαστικού ή εισαγγελικού λειτουργού παντός βαθμού</w:t>
      </w:r>
      <w:r w:rsidRPr="00791C57">
        <w:rPr>
          <w:rFonts w:ascii="Segoe UI" w:eastAsia="Times New Roman" w:hAnsi="Segoe UI" w:cs="Segoe UI"/>
          <w:sz w:val="20"/>
          <w:szCs w:val="20"/>
          <w:lang w:eastAsia="el-GR"/>
        </w:rPr>
        <w:t>, του κύριου</w:t>
      </w:r>
      <w:r w:rsidRPr="00CC4C54">
        <w:rPr>
          <w:rFonts w:ascii="Segoe UI" w:eastAsia="Times New Roman" w:hAnsi="Segoe UI" w:cs="Segoe UI"/>
          <w:sz w:val="20"/>
          <w:szCs w:val="20"/>
          <w:lang w:eastAsia="el-GR"/>
        </w:rPr>
        <w:t xml:space="preserve"> </w:t>
      </w:r>
      <w:r w:rsidRPr="00791C57">
        <w:rPr>
          <w:rFonts w:ascii="Segoe UI" w:eastAsia="Times New Roman" w:hAnsi="Segoe UI" w:cs="Segoe UI"/>
          <w:sz w:val="20"/>
          <w:szCs w:val="20"/>
          <w:lang w:eastAsia="el-GR"/>
        </w:rPr>
        <w:t>προσωπικού του Νομικού Συμβουλίου του Κράτους, συμβολαιογράφου ή</w:t>
      </w:r>
      <w:r w:rsidRPr="00CC4C54">
        <w:rPr>
          <w:rFonts w:ascii="Segoe UI" w:eastAsia="Times New Roman" w:hAnsi="Segoe UI" w:cs="Segoe UI"/>
          <w:sz w:val="20"/>
          <w:szCs w:val="20"/>
          <w:lang w:eastAsia="el-GR"/>
        </w:rPr>
        <w:t xml:space="preserve"> </w:t>
      </w:r>
      <w:r w:rsidRPr="00791C57">
        <w:rPr>
          <w:rFonts w:ascii="Segoe UI" w:eastAsia="Times New Roman" w:hAnsi="Segoe UI" w:cs="Segoe UI"/>
          <w:sz w:val="20"/>
          <w:szCs w:val="20"/>
          <w:lang w:eastAsia="el-GR"/>
        </w:rPr>
        <w:t>υποθηκοφύλακα.</w:t>
      </w:r>
      <w:r>
        <w:rPr>
          <w:rFonts w:ascii="Segoe UI" w:eastAsia="Times New Roman" w:hAnsi="Segoe UI" w:cs="Segoe UI"/>
          <w:sz w:val="20"/>
          <w:szCs w:val="20"/>
          <w:lang w:eastAsia="el-GR"/>
        </w:rPr>
        <w:t xml:space="preserve">». Από τα </w:t>
      </w:r>
      <w:r>
        <w:rPr>
          <w:rFonts w:ascii="Segoe UI" w:eastAsia="Times New Roman" w:hAnsi="Segoe UI" w:cs="Segoe UI"/>
          <w:sz w:val="20"/>
          <w:szCs w:val="20"/>
          <w:lang w:eastAsia="el-GR"/>
        </w:rPr>
        <w:lastRenderedPageBreak/>
        <w:t xml:space="preserve">παραπάνω συνάγεται ότι μέχρι την 31.12.2013 για μια μεγάλη κατηγορία συμβολαιογραφικών πράξεων ήταν υποχρεωτική η παράσταση δικηγόρου, πλην όμως από 01.01.2014 η παράσταση αυτή είναι σε όλες τις συμβολαιογραφικές συμβάσεις προαιρετική. Ως εκ τούτου, έκτοτε, αδράνησε και η ανάγκη </w:t>
      </w:r>
      <w:proofErr w:type="spellStart"/>
      <w:r>
        <w:rPr>
          <w:rFonts w:ascii="Segoe UI" w:eastAsia="Times New Roman" w:hAnsi="Segoe UI" w:cs="Segoe UI"/>
          <w:sz w:val="20"/>
          <w:szCs w:val="20"/>
          <w:lang w:eastAsia="el-GR"/>
        </w:rPr>
        <w:t>επικαιροποίησης</w:t>
      </w:r>
      <w:proofErr w:type="spellEnd"/>
      <w:r>
        <w:rPr>
          <w:rFonts w:ascii="Segoe UI" w:eastAsia="Times New Roman" w:hAnsi="Segoe UI" w:cs="Segoe UI"/>
          <w:sz w:val="20"/>
          <w:szCs w:val="20"/>
          <w:lang w:eastAsia="el-GR"/>
        </w:rPr>
        <w:t xml:space="preserve"> της διάταξης που θέσπισε την εξαίρεση των δικαστών και εισαγγελέων από την υποχρεωτική παράσταση δικηγόρων κατά την κατάρτιση συμβολαίων. </w:t>
      </w:r>
    </w:p>
    <w:p w14:paraId="07DFC860" w14:textId="25755D10" w:rsidR="00F44002" w:rsidRDefault="00F44002" w:rsidP="00F44002">
      <w:pPr>
        <w:spacing w:line="360" w:lineRule="auto"/>
        <w:jc w:val="both"/>
        <w:rPr>
          <w:rFonts w:ascii="Segoe UI" w:hAnsi="Segoe UI" w:cs="Segoe UI"/>
        </w:rPr>
      </w:pPr>
      <w:r>
        <w:rPr>
          <w:rFonts w:ascii="Segoe UI" w:hAnsi="Segoe UI" w:cs="Segoe UI"/>
        </w:rPr>
        <w:tab/>
        <w:t xml:space="preserve">Ενημερωθήκαμε πρόσφατα ότι στις άμεσες προθέσεις του Υπουργείου Σας είναι η επαναφορά της υποχρεωτικής παράστασης των δικηγόρων κατά τη σύνταξη συμβολαιογραφικών εγγράφων κατά τα πρότυπα της ως άνω διάταξης που ίσχυε μέχρι την 31.12.2013. Θεωρούμε ότι η επιλογή κινείται στην ορθή κατεύθυνση της καλύτερης εξασφάλισης των δικαιωμάτων των πολιτών που δεν έχουν την αναγκαία νομική κατάρτιση, πλην όμως ταυτόχρονα </w:t>
      </w:r>
      <w:proofErr w:type="spellStart"/>
      <w:r>
        <w:rPr>
          <w:rFonts w:ascii="Segoe UI" w:hAnsi="Segoe UI" w:cs="Segoe UI"/>
        </w:rPr>
        <w:t>συνεφέλκεται</w:t>
      </w:r>
      <w:proofErr w:type="spellEnd"/>
      <w:r>
        <w:rPr>
          <w:rFonts w:ascii="Segoe UI" w:hAnsi="Segoe UI" w:cs="Segoe UI"/>
        </w:rPr>
        <w:t xml:space="preserve"> και η ανάγκη τροποποίησης - </w:t>
      </w:r>
      <w:proofErr w:type="spellStart"/>
      <w:r>
        <w:rPr>
          <w:rFonts w:ascii="Segoe UI" w:hAnsi="Segoe UI" w:cs="Segoe UI"/>
        </w:rPr>
        <w:t>επικαιροποίησης</w:t>
      </w:r>
      <w:proofErr w:type="spellEnd"/>
      <w:r>
        <w:rPr>
          <w:rFonts w:ascii="Segoe UI" w:hAnsi="Segoe UI" w:cs="Segoe UI"/>
        </w:rPr>
        <w:t xml:space="preserve"> της διάταξης του άρθρου 11παρ.7 ν.2830/2000 (Κώδικα Συμβολαιογράφων) που εξαιρεί μια σειρά από εξειδικευμένους νομικούς από την υποχρέωση παράστασης δικηγόρων κατά την κατάρτιση συμβολαίων, μεταξύ των οποίων και τους δικαστές και εισαγγελείς κάθε βαθμίδας. </w:t>
      </w:r>
    </w:p>
    <w:p w14:paraId="2F16AD45" w14:textId="77777777" w:rsidR="00F44002" w:rsidRDefault="00F44002" w:rsidP="00F4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Segoe UI" w:eastAsia="Times New Roman" w:hAnsi="Segoe UI" w:cs="Segoe UI"/>
          <w:sz w:val="20"/>
          <w:szCs w:val="20"/>
          <w:lang w:eastAsia="el-GR"/>
        </w:rPr>
      </w:pPr>
      <w:r>
        <w:rPr>
          <w:rFonts w:ascii="Segoe UI" w:hAnsi="Segoe UI" w:cs="Segoe UI"/>
        </w:rPr>
        <w:tab/>
        <w:t>Ως εκ τούτου, σε περίπτωση που προχωρήσετε στη νομοθέτηση της υποχρεωτικής παράστασης των δικηγόρων σε όλα τα συμβόλαια, είναι ουσιώδες να συμπεριλάβετε στο νομοσχέδιο τροποποίηση του άρθρου 11 παρ.7 ν.2830/2000 (ΚΩΔΙΚΑ ΣΥΜΒΟΛΑΙΟΓΡΑΦΩΝ), ως ισχύει, προκειμένου στο εξής να παραπέμπει ρητά στην νέα διάταξη που θα θεσπισθεί για την υποχρεωτική παράσταση δικηγόρων στα συμβόλαια και να καθίσταται σαφές ότι η διάταξη που θα θεσπισθεί</w:t>
      </w:r>
      <w:r w:rsidRPr="00791C57">
        <w:rPr>
          <w:rFonts w:ascii="Segoe UI" w:eastAsia="Times New Roman" w:hAnsi="Segoe UI" w:cs="Segoe UI"/>
          <w:sz w:val="20"/>
          <w:szCs w:val="20"/>
          <w:lang w:eastAsia="el-GR"/>
        </w:rPr>
        <w:t xml:space="preserve"> </w:t>
      </w:r>
      <w:r w:rsidRPr="00791C57">
        <w:rPr>
          <w:rFonts w:ascii="Segoe UI" w:eastAsia="Times New Roman" w:hAnsi="Segoe UI" w:cs="Segoe UI"/>
          <w:b/>
          <w:i/>
          <w:sz w:val="20"/>
          <w:szCs w:val="20"/>
          <w:lang w:eastAsia="el-GR"/>
        </w:rPr>
        <w:t>δεν</w:t>
      </w:r>
      <w:r>
        <w:rPr>
          <w:rFonts w:ascii="Segoe UI" w:eastAsia="Times New Roman" w:hAnsi="Segoe UI" w:cs="Segoe UI"/>
          <w:b/>
          <w:i/>
          <w:sz w:val="20"/>
          <w:szCs w:val="20"/>
          <w:lang w:eastAsia="el-GR"/>
        </w:rPr>
        <w:t xml:space="preserve"> θα</w:t>
      </w:r>
      <w:r w:rsidRPr="00791C57">
        <w:rPr>
          <w:rFonts w:ascii="Segoe UI" w:eastAsia="Times New Roman" w:hAnsi="Segoe UI" w:cs="Segoe UI"/>
          <w:b/>
          <w:i/>
          <w:sz w:val="20"/>
          <w:szCs w:val="20"/>
          <w:lang w:eastAsia="el-GR"/>
        </w:rPr>
        <w:t xml:space="preserve"> έχει</w:t>
      </w:r>
      <w:r w:rsidRPr="00CC4C54">
        <w:rPr>
          <w:rFonts w:ascii="Segoe UI" w:eastAsia="Times New Roman" w:hAnsi="Segoe UI" w:cs="Segoe UI"/>
          <w:b/>
          <w:i/>
          <w:sz w:val="20"/>
          <w:szCs w:val="20"/>
          <w:lang w:eastAsia="el-GR"/>
        </w:rPr>
        <w:t xml:space="preserve"> </w:t>
      </w:r>
      <w:r w:rsidRPr="00791C57">
        <w:rPr>
          <w:rFonts w:ascii="Segoe UI" w:eastAsia="Times New Roman" w:hAnsi="Segoe UI" w:cs="Segoe UI"/>
          <w:b/>
          <w:i/>
          <w:sz w:val="20"/>
          <w:szCs w:val="20"/>
          <w:lang w:eastAsia="el-GR"/>
        </w:rPr>
        <w:t>εφαρμογή σε δικαιοπραξίες για τον συμβαλλόμενο που έχει την ιδιότητα</w:t>
      </w:r>
      <w:r w:rsidRPr="00CC4C54">
        <w:rPr>
          <w:rFonts w:ascii="Segoe UI" w:eastAsia="Times New Roman" w:hAnsi="Segoe UI" w:cs="Segoe UI"/>
          <w:b/>
          <w:i/>
          <w:sz w:val="20"/>
          <w:szCs w:val="20"/>
          <w:lang w:eastAsia="el-GR"/>
        </w:rPr>
        <w:t xml:space="preserve"> </w:t>
      </w:r>
      <w:r w:rsidRPr="00791C57">
        <w:rPr>
          <w:rFonts w:ascii="Segoe UI" w:eastAsia="Times New Roman" w:hAnsi="Segoe UI" w:cs="Segoe UI"/>
          <w:b/>
          <w:i/>
          <w:sz w:val="20"/>
          <w:szCs w:val="20"/>
          <w:lang w:eastAsia="el-GR"/>
        </w:rPr>
        <w:t>δικαστικού ή εισαγγελικού λειτουργού παντός βαθμού</w:t>
      </w:r>
      <w:r w:rsidRPr="00791C57">
        <w:rPr>
          <w:rFonts w:ascii="Segoe UI" w:eastAsia="Times New Roman" w:hAnsi="Segoe UI" w:cs="Segoe UI"/>
          <w:sz w:val="20"/>
          <w:szCs w:val="20"/>
          <w:lang w:eastAsia="el-GR"/>
        </w:rPr>
        <w:t>, του κύριου</w:t>
      </w:r>
      <w:r w:rsidRPr="00CC4C54">
        <w:rPr>
          <w:rFonts w:ascii="Segoe UI" w:eastAsia="Times New Roman" w:hAnsi="Segoe UI" w:cs="Segoe UI"/>
          <w:sz w:val="20"/>
          <w:szCs w:val="20"/>
          <w:lang w:eastAsia="el-GR"/>
        </w:rPr>
        <w:t xml:space="preserve"> </w:t>
      </w:r>
      <w:r w:rsidRPr="00791C57">
        <w:rPr>
          <w:rFonts w:ascii="Segoe UI" w:eastAsia="Times New Roman" w:hAnsi="Segoe UI" w:cs="Segoe UI"/>
          <w:sz w:val="20"/>
          <w:szCs w:val="20"/>
          <w:lang w:eastAsia="el-GR"/>
        </w:rPr>
        <w:t>προσωπικού του Νομικού Συμβουλίου του Κράτους, συμβολαιογράφου ή</w:t>
      </w:r>
      <w:r w:rsidRPr="00CC4C54">
        <w:rPr>
          <w:rFonts w:ascii="Segoe UI" w:eastAsia="Times New Roman" w:hAnsi="Segoe UI" w:cs="Segoe UI"/>
          <w:sz w:val="20"/>
          <w:szCs w:val="20"/>
          <w:lang w:eastAsia="el-GR"/>
        </w:rPr>
        <w:t xml:space="preserve"> </w:t>
      </w:r>
      <w:r>
        <w:rPr>
          <w:rFonts w:ascii="Segoe UI" w:eastAsia="Times New Roman" w:hAnsi="Segoe UI" w:cs="Segoe UI"/>
          <w:sz w:val="20"/>
          <w:szCs w:val="20"/>
          <w:lang w:eastAsia="el-GR"/>
        </w:rPr>
        <w:t xml:space="preserve">υποθηκοφύλακα». </w:t>
      </w:r>
    </w:p>
    <w:p w14:paraId="1401F1DB" w14:textId="77777777" w:rsidR="00F44002" w:rsidRPr="00791C57" w:rsidRDefault="00F44002" w:rsidP="00F4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Segoe UI" w:eastAsia="Times New Roman" w:hAnsi="Segoe UI" w:cs="Segoe UI"/>
          <w:sz w:val="20"/>
          <w:szCs w:val="20"/>
          <w:lang w:eastAsia="el-GR"/>
        </w:rPr>
      </w:pPr>
      <w:r>
        <w:rPr>
          <w:rFonts w:ascii="Segoe UI" w:eastAsia="Times New Roman" w:hAnsi="Segoe UI" w:cs="Segoe UI"/>
          <w:sz w:val="20"/>
          <w:szCs w:val="20"/>
          <w:lang w:eastAsia="el-GR"/>
        </w:rPr>
        <w:tab/>
      </w:r>
    </w:p>
    <w:p w14:paraId="0B84E901" w14:textId="77777777" w:rsidR="00F44002" w:rsidRDefault="00F44002" w:rsidP="00F44002">
      <w:pPr>
        <w:spacing w:line="360" w:lineRule="auto"/>
        <w:rPr>
          <w:rFonts w:ascii="Times New Roman" w:hAnsi="Times New Roman" w:cs="Times New Roman"/>
          <w:sz w:val="24"/>
          <w:szCs w:val="24"/>
        </w:rPr>
      </w:pPr>
    </w:p>
    <w:p w14:paraId="13271432" w14:textId="37799279" w:rsidR="002575CB" w:rsidRPr="00C16956" w:rsidRDefault="00C16956" w:rsidP="00C16956">
      <w:pPr>
        <w:spacing w:line="360" w:lineRule="auto"/>
        <w:ind w:firstLine="720"/>
        <w:jc w:val="center"/>
        <w:rPr>
          <w:rFonts w:ascii="Times New Roman" w:hAnsi="Times New Roman" w:cs="Times New Roman"/>
          <w:sz w:val="24"/>
          <w:szCs w:val="24"/>
        </w:rPr>
      </w:pPr>
      <w:r w:rsidRPr="00C16956">
        <w:rPr>
          <w:rFonts w:ascii="Times New Roman" w:eastAsia="Times New Roman" w:hAnsi="Times New Roman" w:cs="Times New Roman"/>
          <w:noProof/>
          <w:kern w:val="0"/>
          <w:sz w:val="24"/>
          <w:szCs w:val="24"/>
          <w:lang w:eastAsia="el-GR"/>
          <w14:ligatures w14:val="none"/>
        </w:rPr>
        <w:drawing>
          <wp:inline distT="0" distB="0" distL="0" distR="0" wp14:anchorId="77E8DA0B" wp14:editId="072BA3E2">
            <wp:extent cx="3359785" cy="1276350"/>
            <wp:effectExtent l="0" t="0" r="0" b="0"/>
            <wp:docPr id="122503451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4505" cy="1278143"/>
                    </a:xfrm>
                    <a:prstGeom prst="rect">
                      <a:avLst/>
                    </a:prstGeom>
                    <a:noFill/>
                    <a:ln>
                      <a:noFill/>
                    </a:ln>
                  </pic:spPr>
                </pic:pic>
              </a:graphicData>
            </a:graphic>
          </wp:inline>
        </w:drawing>
      </w:r>
    </w:p>
    <w:sectPr w:rsidR="002575CB" w:rsidRPr="00C169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C0"/>
    <w:rsid w:val="002575CB"/>
    <w:rsid w:val="003358CE"/>
    <w:rsid w:val="0047439D"/>
    <w:rsid w:val="00496086"/>
    <w:rsid w:val="005C376E"/>
    <w:rsid w:val="00615386"/>
    <w:rsid w:val="00711675"/>
    <w:rsid w:val="007A4E42"/>
    <w:rsid w:val="007D3F5C"/>
    <w:rsid w:val="009448C0"/>
    <w:rsid w:val="0096559C"/>
    <w:rsid w:val="00974C5E"/>
    <w:rsid w:val="009E2E5A"/>
    <w:rsid w:val="00C16956"/>
    <w:rsid w:val="00C62435"/>
    <w:rsid w:val="00D64315"/>
    <w:rsid w:val="00E4416A"/>
    <w:rsid w:val="00F01A51"/>
    <w:rsid w:val="00F44002"/>
    <w:rsid w:val="00F500C2"/>
    <w:rsid w:val="00FF05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89F1C"/>
  <w15:chartTrackingRefBased/>
  <w15:docId w15:val="{46EEEEF7-BD7C-4EF7-B3A2-570F0246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9448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9448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9448C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9448C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9448C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9448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448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448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448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448C0"/>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9448C0"/>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9448C0"/>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9448C0"/>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9448C0"/>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9448C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448C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448C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448C0"/>
    <w:rPr>
      <w:rFonts w:eastAsiaTheme="majorEastAsia" w:cstheme="majorBidi"/>
      <w:color w:val="272727" w:themeColor="text1" w:themeTint="D8"/>
    </w:rPr>
  </w:style>
  <w:style w:type="paragraph" w:styleId="a3">
    <w:name w:val="Title"/>
    <w:basedOn w:val="a"/>
    <w:next w:val="a"/>
    <w:link w:val="Char"/>
    <w:uiPriority w:val="10"/>
    <w:qFormat/>
    <w:rsid w:val="00944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448C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448C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448C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448C0"/>
    <w:pPr>
      <w:spacing w:before="160"/>
      <w:jc w:val="center"/>
    </w:pPr>
    <w:rPr>
      <w:i/>
      <w:iCs/>
      <w:color w:val="404040" w:themeColor="text1" w:themeTint="BF"/>
    </w:rPr>
  </w:style>
  <w:style w:type="character" w:customStyle="1" w:styleId="Char1">
    <w:name w:val="Απόσπασμα Char"/>
    <w:basedOn w:val="a0"/>
    <w:link w:val="a5"/>
    <w:uiPriority w:val="29"/>
    <w:rsid w:val="009448C0"/>
    <w:rPr>
      <w:i/>
      <w:iCs/>
      <w:color w:val="404040" w:themeColor="text1" w:themeTint="BF"/>
    </w:rPr>
  </w:style>
  <w:style w:type="paragraph" w:styleId="a6">
    <w:name w:val="List Paragraph"/>
    <w:basedOn w:val="a"/>
    <w:uiPriority w:val="34"/>
    <w:qFormat/>
    <w:rsid w:val="009448C0"/>
    <w:pPr>
      <w:ind w:left="720"/>
      <w:contextualSpacing/>
    </w:pPr>
  </w:style>
  <w:style w:type="character" w:styleId="a7">
    <w:name w:val="Intense Emphasis"/>
    <w:basedOn w:val="a0"/>
    <w:uiPriority w:val="21"/>
    <w:qFormat/>
    <w:rsid w:val="009448C0"/>
    <w:rPr>
      <w:i/>
      <w:iCs/>
      <w:color w:val="2F5496" w:themeColor="accent1" w:themeShade="BF"/>
    </w:rPr>
  </w:style>
  <w:style w:type="paragraph" w:styleId="a8">
    <w:name w:val="Intense Quote"/>
    <w:basedOn w:val="a"/>
    <w:next w:val="a"/>
    <w:link w:val="Char2"/>
    <w:uiPriority w:val="30"/>
    <w:qFormat/>
    <w:rsid w:val="009448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9448C0"/>
    <w:rPr>
      <w:i/>
      <w:iCs/>
      <w:color w:val="2F5496" w:themeColor="accent1" w:themeShade="BF"/>
    </w:rPr>
  </w:style>
  <w:style w:type="character" w:styleId="a9">
    <w:name w:val="Intense Reference"/>
    <w:basedOn w:val="a0"/>
    <w:uiPriority w:val="32"/>
    <w:qFormat/>
    <w:rsid w:val="009448C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javascript:open_links('287038,26586')" TargetMode="External"/><Relationship Id="rId4" Type="http://schemas.openxmlformats.org/officeDocument/2006/relationships/hyperlink" Target="javascript:open_article_links(26586,'42')"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3437</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Harry Anthis</cp:lastModifiedBy>
  <cp:revision>2</cp:revision>
  <dcterms:created xsi:type="dcterms:W3CDTF">2026-09-16T07:09:00Z</dcterms:created>
  <dcterms:modified xsi:type="dcterms:W3CDTF">2026-09-16T07:09:00Z</dcterms:modified>
</cp:coreProperties>
</file>