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BBC50" w14:textId="77777777" w:rsidR="009A399C" w:rsidRDefault="009A399C">
      <w:pPr>
        <w:spacing w:line="360" w:lineRule="auto"/>
        <w:ind w:left="57" w:right="57"/>
        <w:jc w:val="center"/>
        <w:rPr>
          <w:rFonts w:ascii="Times New Roman" w:hAnsi="Times New Roman"/>
          <w:b/>
          <w:bCs/>
          <w:sz w:val="28"/>
          <w:szCs w:val="28"/>
        </w:rPr>
      </w:pPr>
      <w:bookmarkStart w:id="0" w:name="_GoBack"/>
      <w:bookmarkEnd w:id="0"/>
    </w:p>
    <w:p w14:paraId="197FF32D" w14:textId="758BD9B4" w:rsidR="00A31246" w:rsidRPr="008114B4" w:rsidRDefault="00347742">
      <w:pPr>
        <w:spacing w:line="360" w:lineRule="auto"/>
        <w:ind w:left="57" w:right="57"/>
        <w:jc w:val="center"/>
        <w:rPr>
          <w:rFonts w:ascii="Times New Roman" w:hAnsi="Times New Roman"/>
          <w:b/>
          <w:bCs/>
          <w:sz w:val="28"/>
          <w:szCs w:val="28"/>
        </w:rPr>
      </w:pPr>
      <w:r w:rsidRPr="008114B4">
        <w:rPr>
          <w:rFonts w:ascii="Times New Roman" w:hAnsi="Times New Roman"/>
          <w:b/>
          <w:bCs/>
          <w:sz w:val="28"/>
          <w:szCs w:val="28"/>
        </w:rPr>
        <w:t>Δείγματα γραφής και συμπεράσματα</w:t>
      </w:r>
    </w:p>
    <w:p w14:paraId="5CA0CC3A" w14:textId="77777777" w:rsidR="00A31246" w:rsidRDefault="00A31246">
      <w:pPr>
        <w:spacing w:line="360" w:lineRule="auto"/>
        <w:ind w:left="57" w:right="57" w:firstLine="720"/>
        <w:jc w:val="both"/>
        <w:rPr>
          <w:rFonts w:ascii="Times New Roman" w:hAnsi="Times New Roman"/>
        </w:rPr>
      </w:pPr>
    </w:p>
    <w:p w14:paraId="4273923B" w14:textId="25521489" w:rsidR="002A27E5" w:rsidRDefault="002A27E5" w:rsidP="002A27E5">
      <w:pPr>
        <w:tabs>
          <w:tab w:val="left" w:pos="8460"/>
        </w:tabs>
        <w:spacing w:line="360" w:lineRule="auto"/>
        <w:ind w:left="57" w:right="57" w:firstLine="720"/>
        <w:jc w:val="right"/>
        <w:rPr>
          <w:rFonts w:ascii="Times New Roman" w:hAnsi="Times New Roman"/>
        </w:rPr>
      </w:pPr>
      <w:r>
        <w:rPr>
          <w:rFonts w:ascii="Times New Roman" w:hAnsi="Times New Roman"/>
        </w:rPr>
        <w:tab/>
      </w:r>
      <w:r w:rsidRPr="00AD71AC">
        <w:rPr>
          <w:rFonts w:asciiTheme="minorHAnsi" w:hAnsiTheme="minorHAnsi" w:cstheme="minorBidi"/>
          <w:noProof/>
          <w:sz w:val="22"/>
          <w:szCs w:val="22"/>
        </w:rPr>
        <w:drawing>
          <wp:inline distT="0" distB="0" distL="0" distR="0" wp14:anchorId="0B74624C" wp14:editId="58EA84A4">
            <wp:extent cx="1813560" cy="2725362"/>
            <wp:effectExtent l="0" t="0" r="0" b="0"/>
            <wp:docPr id="210409136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27606" cy="2746470"/>
                    </a:xfrm>
                    <a:prstGeom prst="rect">
                      <a:avLst/>
                    </a:prstGeom>
                    <a:noFill/>
                    <a:ln>
                      <a:noFill/>
                    </a:ln>
                  </pic:spPr>
                </pic:pic>
              </a:graphicData>
            </a:graphic>
          </wp:inline>
        </w:drawing>
      </w:r>
    </w:p>
    <w:p w14:paraId="7D4DECDA" w14:textId="77777777" w:rsidR="00A31246" w:rsidRDefault="00A31246">
      <w:pPr>
        <w:spacing w:line="360" w:lineRule="auto"/>
        <w:ind w:left="57" w:right="57" w:firstLine="720"/>
        <w:jc w:val="both"/>
        <w:rPr>
          <w:rFonts w:ascii="Times New Roman" w:hAnsi="Times New Roman"/>
        </w:rPr>
      </w:pPr>
    </w:p>
    <w:p w14:paraId="318466CD" w14:textId="77777777" w:rsidR="00A31246" w:rsidRDefault="00347742">
      <w:pPr>
        <w:spacing w:line="360" w:lineRule="auto"/>
        <w:ind w:left="57" w:right="57" w:firstLine="720"/>
        <w:jc w:val="right"/>
        <w:rPr>
          <w:rFonts w:ascii="Times New Roman" w:hAnsi="Times New Roman"/>
        </w:rPr>
      </w:pPr>
      <w:r>
        <w:rPr>
          <w:rFonts w:ascii="Times New Roman" w:hAnsi="Times New Roman"/>
        </w:rPr>
        <w:t>Χρήστος Φαρσαλιώτης</w:t>
      </w:r>
    </w:p>
    <w:p w14:paraId="3F6886D6" w14:textId="77777777" w:rsidR="00A31246" w:rsidRDefault="00347742">
      <w:pPr>
        <w:spacing w:line="360" w:lineRule="auto"/>
        <w:ind w:left="57" w:right="57" w:firstLine="720"/>
        <w:jc w:val="right"/>
        <w:rPr>
          <w:rFonts w:ascii="Times New Roman" w:hAnsi="Times New Roman"/>
        </w:rPr>
      </w:pPr>
      <w:r>
        <w:rPr>
          <w:rFonts w:ascii="Times New Roman" w:hAnsi="Times New Roman"/>
        </w:rPr>
        <w:t>Πρωτοδίκης</w:t>
      </w:r>
    </w:p>
    <w:p w14:paraId="28099AB5" w14:textId="77777777" w:rsidR="00A31246" w:rsidRDefault="00A31246">
      <w:pPr>
        <w:spacing w:line="360" w:lineRule="auto"/>
        <w:ind w:left="57" w:right="57" w:firstLine="720"/>
        <w:jc w:val="both"/>
        <w:rPr>
          <w:rFonts w:ascii="Times New Roman" w:hAnsi="Times New Roman"/>
        </w:rPr>
      </w:pPr>
    </w:p>
    <w:p w14:paraId="1380D8DD" w14:textId="77777777" w:rsidR="00A31246" w:rsidRDefault="00347742">
      <w:pPr>
        <w:spacing w:line="360" w:lineRule="auto"/>
        <w:ind w:left="57" w:right="57" w:firstLine="720"/>
        <w:jc w:val="both"/>
        <w:rPr>
          <w:rFonts w:ascii="Times New Roman" w:hAnsi="Times New Roman"/>
        </w:rPr>
      </w:pPr>
      <w:r>
        <w:rPr>
          <w:rFonts w:ascii="Times New Roman" w:hAnsi="Times New Roman"/>
        </w:rPr>
        <w:t xml:space="preserve">Ο δικαστικός συνδικαλισμός έχει τις ιδιαιτερότητές του. Μία από αυτές είναι ο περιορισμός, σε σχέση με τον συνδικαλισμό άλλων επαγγελματικών ομάδων, ως προς τα μέσα πραγμάτωσης των σκοπών του. Αυτό καθιστά περισσότερο αναγκαία, συγκριτικά, την επένδυση στην πειστικότητα της επιχειρηματολογίας μας. Στο πλαίσιο αυτό, και όχι με όρους βιογραφικού σημειώματος, έχει σημασία και η επιστημοσύνη των διοικούντων την Ένωση, καθώς και η διάθεσή τους να δουλέψουν σκληρά για να πείσουν για την ορθότητα των </w:t>
      </w:r>
      <w:proofErr w:type="spellStart"/>
      <w:r>
        <w:rPr>
          <w:rFonts w:ascii="Times New Roman" w:hAnsi="Times New Roman"/>
        </w:rPr>
        <w:t>θέσεών</w:t>
      </w:r>
      <w:proofErr w:type="spellEnd"/>
      <w:r>
        <w:rPr>
          <w:rFonts w:ascii="Times New Roman" w:hAnsi="Times New Roman"/>
        </w:rPr>
        <w:t xml:space="preserve"> μας και, έτσι, να υπηρετήσουν τον</w:t>
      </w:r>
      <w:r w:rsidRPr="00612102">
        <w:rPr>
          <w:rFonts w:ascii="Times New Roman" w:hAnsi="Times New Roman"/>
        </w:rPr>
        <w:t xml:space="preserve"> </w:t>
      </w:r>
      <w:r>
        <w:rPr>
          <w:rFonts w:ascii="Times New Roman" w:hAnsi="Times New Roman"/>
        </w:rPr>
        <w:t xml:space="preserve">διαρκή αγώνα για την ανεξαρτησία μας και τα συλλογικά μας συμφέροντα. Έχοντας την τιμή να συμμετέχω στο προεδρείο τη διετία που ολοκληρώνεται, θεωρώ χρήσιμο να αναφερθώ, σε αυτό το κείμενο που γράφεται ενόψει των προσεχών εκλογών, σε ορισμένα ζητήματα σχετικά με την πρότασή μας για την αντιμετώπιση των ακραίων συμπεριφορών μικρής μερίδας δικηγόρων. </w:t>
      </w:r>
    </w:p>
    <w:p w14:paraId="510C5839" w14:textId="77777777" w:rsidR="00A31246" w:rsidRDefault="00347742">
      <w:pPr>
        <w:spacing w:line="360" w:lineRule="auto"/>
        <w:ind w:left="57" w:right="57" w:firstLine="720"/>
        <w:jc w:val="both"/>
        <w:rPr>
          <w:rFonts w:ascii="Times New Roman" w:hAnsi="Times New Roman"/>
        </w:rPr>
      </w:pPr>
      <w:r>
        <w:rPr>
          <w:rFonts w:ascii="Times New Roman" w:hAnsi="Times New Roman"/>
        </w:rPr>
        <w:t xml:space="preserve">Κατ’ αρχάς, πρέπει να σημειωθεί ότι η πρόταση αυτή δεν είναι -και δεν πρέπει να γίνεται αντιληπτή σαν- μία σύγκρουση με το δικηγορικό σώμα συνολικά, ακόμα κι αν κάποιες φορές οι τόνοι ανέβηκαν. Χαρακτηριστικό της έλλειψης οποιασδήποτε τέτοιας διάθεσης από την πλευρά της Ένωσής μας είναι ότι, λίγες ημέρες πριν την κατάθεση της σχετικής μας πρότασης, διοργανώσαμε από κοινού με τον Δ.Σ.Α. επιστημονική ημερίδα για τη δικαστική ανεξαρτησία. Το πρόβλημα αφορά, κατά βάση, τις συμπεριφορές συγκεκριμένων δικηγόρων, οι οποίοι -δυστυχώς- βρίσκουν και </w:t>
      </w:r>
      <w:r>
        <w:rPr>
          <w:rFonts w:ascii="Times New Roman" w:hAnsi="Times New Roman"/>
        </w:rPr>
        <w:lastRenderedPageBreak/>
        <w:t>μιμητές. Οι συμπεριφορές αυτές, εξάλλου, πέρα από τους συναδέλφους δικαστές και εισαγγελείς, ενοχλούν και τη μεγάλη πλειοψηφία των δικηγόρων που, ενώ προσπαθούν να ασκήσουν το λειτούργημά τους με σοβαρότητα και ευπρέπεια, έρχονται αντιμέτωποι με αυτές. Το βασικότερο, ωστόσο, δεν είναι η ενόχληση και οι προσβολές προσωπικότητας που υφίσταται η σύνθεση του δικαστηρίου και οι λοιποί παράγοντες της δίκης. Ακραίες επιθετικές -μερικές φορές ακόμα και βίαιες- συμπεριφορές σε βάρος δικαστικών λειτουργών αφενός μεν υποβαθμίζουν το κύρος της δικαστικής εξουσίας και, συνεπώς, την εμπιστοσύνη που πρέπει να εμπνέουν τα δικαστήρια στους πολίτες σε μια δημοκρατική κοινωνία, αφετέρου δε αποτελούν αδικαιολόγητες παρεμβάσεις που θίγουν τη δικαστική ανεξαρτησία.</w:t>
      </w:r>
    </w:p>
    <w:p w14:paraId="61A1568D" w14:textId="77777777" w:rsidR="00A31246" w:rsidRDefault="00347742">
      <w:pPr>
        <w:spacing w:line="360" w:lineRule="auto"/>
        <w:ind w:left="57" w:right="57" w:firstLine="720"/>
        <w:jc w:val="both"/>
        <w:rPr>
          <w:rFonts w:ascii="Times New Roman" w:hAnsi="Times New Roman"/>
        </w:rPr>
      </w:pPr>
      <w:r>
        <w:rPr>
          <w:rFonts w:ascii="Times New Roman" w:hAnsi="Times New Roman"/>
        </w:rPr>
        <w:t xml:space="preserve">Ως γνωστόν, η πρότασή μας ως προς το ζήτημα αυτό διατυπώθηκε αναλυτικά στην από 23-6-2025 επιστολή μας προς τον Υπουργό Δικαιοσύνης και, συνοπτικά, είναι η τροποποίηση των διατάξεων των κωδίκων πολιτικής και ποινικής δικονομίας ώστε να υφίσταται, σε </w:t>
      </w:r>
      <w:proofErr w:type="spellStart"/>
      <w:r>
        <w:rPr>
          <w:rFonts w:ascii="Times New Roman" w:hAnsi="Times New Roman"/>
        </w:rPr>
        <w:t>όλως</w:t>
      </w:r>
      <w:proofErr w:type="spellEnd"/>
      <w:r>
        <w:rPr>
          <w:rFonts w:ascii="Times New Roman" w:hAnsi="Times New Roman"/>
        </w:rPr>
        <w:t xml:space="preserve"> εξαιρετικές περιπτώσεις σοβαρής διατάραξης της συνεδρίασης ή βαριάς και επανειλημμένης προσβλητικής συμπεριφοράς κατά του δικαστηρίου ή μέλους του από δικηγόρο, δυνατότητα απομάκρυνσής του από το ακροατήριο και αποβολής του από τη συγκεκριμένη δίκη. Στην προαναφερθείσα επιστολή μας, εκθέταμε ακριβώς τι διακυβεύεται, ποιο είναι το υφιστάμενο πλαίσιο και γιατί είναι ανεπαρκές, τι ισχύει σε άλλες έννομες τάξεις, ποιοι είναι οι πιθανοί τρόποι αντιμετώπισης του προβλήματος και γιατί προκρίνεται ο συγκεκριμένος. Οι αναλύσεις αυτές, αν και ενδεικτικές της σοβαρότητας της προσπάθειας, δεν θα μπορούσαν να επαναληφθούν σε αυτές τις γραμμές.</w:t>
      </w:r>
    </w:p>
    <w:p w14:paraId="058242E2" w14:textId="77777777" w:rsidR="00A31246" w:rsidRDefault="00347742">
      <w:pPr>
        <w:spacing w:line="360" w:lineRule="auto"/>
        <w:ind w:left="57" w:right="57" w:firstLine="720"/>
        <w:jc w:val="both"/>
        <w:rPr>
          <w:rFonts w:ascii="Times New Roman" w:hAnsi="Times New Roman"/>
        </w:rPr>
      </w:pPr>
      <w:r>
        <w:rPr>
          <w:rFonts w:ascii="Times New Roman" w:hAnsi="Times New Roman"/>
        </w:rPr>
        <w:t xml:space="preserve">Αυτό που αξίζει να σημειωθεί είναι ότι η πρότασή μας εντάσσεται σε αυτό ακριβώς που αποκαλεί το ΕΔΔΑ αναγκαία εξουσία του δικαστηρίου να διασφαλίζει την ορθή και εύρυθμη διεξαγωγή των ίδιων των διαδικασιών του (βλ. ενδεικτικά </w:t>
      </w:r>
      <w:proofErr w:type="spellStart"/>
      <w:r>
        <w:rPr>
          <w:rFonts w:ascii="Times New Roman" w:hAnsi="Times New Roman"/>
        </w:rPr>
        <w:t>Gestur</w:t>
      </w:r>
      <w:proofErr w:type="spellEnd"/>
      <w:r>
        <w:rPr>
          <w:rFonts w:ascii="Times New Roman" w:hAnsi="Times New Roman"/>
        </w:rPr>
        <w:t xml:space="preserve"> </w:t>
      </w:r>
      <w:proofErr w:type="spellStart"/>
      <w:r>
        <w:rPr>
          <w:rFonts w:ascii="Times New Roman" w:hAnsi="Times New Roman"/>
        </w:rPr>
        <w:t>Jónsson</w:t>
      </w:r>
      <w:proofErr w:type="spellEnd"/>
      <w:r>
        <w:rPr>
          <w:rFonts w:ascii="Times New Roman" w:hAnsi="Times New Roman"/>
        </w:rPr>
        <w:t xml:space="preserve"> and </w:t>
      </w:r>
      <w:proofErr w:type="spellStart"/>
      <w:r>
        <w:rPr>
          <w:rFonts w:ascii="Times New Roman" w:hAnsi="Times New Roman"/>
        </w:rPr>
        <w:t>Ragnar</w:t>
      </w:r>
      <w:proofErr w:type="spellEnd"/>
      <w:r>
        <w:rPr>
          <w:rFonts w:ascii="Times New Roman" w:hAnsi="Times New Roman"/>
        </w:rPr>
        <w:t xml:space="preserve"> </w:t>
      </w:r>
      <w:proofErr w:type="spellStart"/>
      <w:r>
        <w:rPr>
          <w:rFonts w:ascii="Times New Roman" w:hAnsi="Times New Roman"/>
        </w:rPr>
        <w:t>Halldór</w:t>
      </w:r>
      <w:proofErr w:type="spellEnd"/>
      <w:r>
        <w:rPr>
          <w:rFonts w:ascii="Times New Roman" w:hAnsi="Times New Roman"/>
        </w:rPr>
        <w:t xml:space="preserve"> </w:t>
      </w:r>
      <w:proofErr w:type="spellStart"/>
      <w:r>
        <w:rPr>
          <w:rFonts w:ascii="Times New Roman" w:hAnsi="Times New Roman"/>
        </w:rPr>
        <w:t>Hall</w:t>
      </w:r>
      <w:proofErr w:type="spellEnd"/>
      <w:r>
        <w:rPr>
          <w:rFonts w:ascii="Times New Roman" w:hAnsi="Times New Roman"/>
        </w:rPr>
        <w:t xml:space="preserve"> v. </w:t>
      </w:r>
      <w:proofErr w:type="spellStart"/>
      <w:r>
        <w:rPr>
          <w:rFonts w:ascii="Times New Roman" w:hAnsi="Times New Roman"/>
        </w:rPr>
        <w:t>Iceland</w:t>
      </w:r>
      <w:proofErr w:type="spellEnd"/>
      <w:r>
        <w:rPr>
          <w:rFonts w:ascii="Times New Roman" w:hAnsi="Times New Roman"/>
        </w:rPr>
        <w:t xml:space="preserve">,  68273/14  κ.α., 22-12-2020, §89). Μάλιστα, μετά τη </w:t>
      </w:r>
      <w:proofErr w:type="spellStart"/>
      <w:r>
        <w:rPr>
          <w:rFonts w:ascii="Times New Roman" w:hAnsi="Times New Roman"/>
        </w:rPr>
        <w:t>δικαιοσυγκριτική</w:t>
      </w:r>
      <w:proofErr w:type="spellEnd"/>
      <w:r>
        <w:rPr>
          <w:rFonts w:ascii="Times New Roman" w:hAnsi="Times New Roman"/>
        </w:rPr>
        <w:t xml:space="preserve"> προσέγγιση του θέματος και τη μελέτη της σχετικής νομολογίας του ΕΔΔΑ, η παραπάνω πρόταση προκρίθηκε ως η πλέον ήπια σε σχέση με τη με άλλους πιθανούς τρόπους αποτελεσματική αντιμετώπιση του προβλήματος, όπως, για παράδειγμα, μέσω νομοθετικών αλλαγών που θα επέτρεπαν την άμεση ποινική αντιμετώπιση των επίμαχων συμπεριφορών. Ιδιαιτέρως σημαντικό είναι ότι το μέτρο της απομάκρυνσης δικηγόρου από τη διαδικασία έχει αντιμετωπιστεί από το ΕΔΔΑ ως διαδικαστικό μέτρο που μπορούσε να λάβει ο δικαστής και εξυπηρετούσε τον σκοπό της διασφάλισης της ορθής και ταχείας απονομής της δικαιοσύνης, ενώ έγινε δεκτό ότι δεν εφαρμόζονται καν σχετικά τα άρθρα 6 §1 και 8 της ΕΣΔΑ (βλ. </w:t>
      </w:r>
      <w:proofErr w:type="spellStart"/>
      <w:r>
        <w:rPr>
          <w:rFonts w:ascii="Times New Roman" w:hAnsi="Times New Roman"/>
        </w:rPr>
        <w:t>Angerjärv</w:t>
      </w:r>
      <w:proofErr w:type="spellEnd"/>
      <w:r>
        <w:rPr>
          <w:rFonts w:ascii="Times New Roman" w:hAnsi="Times New Roman"/>
        </w:rPr>
        <w:t xml:space="preserve"> and </w:t>
      </w:r>
      <w:proofErr w:type="spellStart"/>
      <w:r>
        <w:rPr>
          <w:rFonts w:ascii="Times New Roman" w:hAnsi="Times New Roman"/>
        </w:rPr>
        <w:t>Greinoman</w:t>
      </w:r>
      <w:proofErr w:type="spellEnd"/>
      <w:r>
        <w:rPr>
          <w:rFonts w:ascii="Times New Roman" w:hAnsi="Times New Roman"/>
        </w:rPr>
        <w:t xml:space="preserve"> v. </w:t>
      </w:r>
      <w:proofErr w:type="spellStart"/>
      <w:r>
        <w:rPr>
          <w:rFonts w:ascii="Times New Roman" w:hAnsi="Times New Roman"/>
        </w:rPr>
        <w:t>Estonia</w:t>
      </w:r>
      <w:proofErr w:type="spellEnd"/>
      <w:r>
        <w:rPr>
          <w:rFonts w:ascii="Times New Roman" w:hAnsi="Times New Roman"/>
        </w:rPr>
        <w:t xml:space="preserve">, 16358/18 κ.α., 4-10-2022, §§ 86-103 και 118-128). Περαιτέρω, μεριμνήσαμε ώστε στην ίδια την πρότασή μας να περιλαμβάνονται προβλέψεις αναφορικά με την αναβολή ή διακοπή της δίκης, κατά περίπτωση, ώστε να διασφαλιστεί η δυνατότητα του διαδίκου να παρασταθεί με (άλλον) δικηγόρο της επιλογής του. Κι εδώ έχει σημασία η σχετική νομολογία του ΕΔΔΑ, κατά την οποία το δικαίωμα επιλογής δικηγόρου δεν είναι </w:t>
      </w:r>
      <w:r>
        <w:rPr>
          <w:rFonts w:ascii="Times New Roman" w:hAnsi="Times New Roman"/>
        </w:rPr>
        <w:lastRenderedPageBreak/>
        <w:t xml:space="preserve">απόλυτο. Ειδικότερα, το Δικαστήριο </w:t>
      </w:r>
      <w:proofErr w:type="spellStart"/>
      <w:r>
        <w:rPr>
          <w:rFonts w:ascii="Times New Roman" w:hAnsi="Times New Roman"/>
        </w:rPr>
        <w:t>παγίως</w:t>
      </w:r>
      <w:proofErr w:type="spellEnd"/>
      <w:r>
        <w:rPr>
          <w:rFonts w:ascii="Times New Roman" w:hAnsi="Times New Roman"/>
        </w:rPr>
        <w:t xml:space="preserve"> δέχεται ότι οι εθνικές αρχές οφείλουν να λαμβάνουν υπόψη τις επιθυμίες του κατηγορουμένου ως προς την επιλογή νομικής εκπροσώπησης, μπορούν όμως να τις παρακάμπτουν όταν υφίστανται σχετικοί και επαρκείς λόγοι που καθιστούν τούτο αναγκαίο προς το συμφέρον της δικαιοσύνης (βλ. ενδεικτικά </w:t>
      </w:r>
      <w:proofErr w:type="spellStart"/>
      <w:r>
        <w:rPr>
          <w:rFonts w:ascii="Times New Roman" w:hAnsi="Times New Roman"/>
        </w:rPr>
        <w:t>Dvorski</w:t>
      </w:r>
      <w:proofErr w:type="spellEnd"/>
      <w:r>
        <w:rPr>
          <w:rFonts w:ascii="Times New Roman" w:hAnsi="Times New Roman"/>
        </w:rPr>
        <w:t xml:space="preserve"> v. </w:t>
      </w:r>
      <w:proofErr w:type="spellStart"/>
      <w:r>
        <w:rPr>
          <w:rFonts w:ascii="Times New Roman" w:hAnsi="Times New Roman"/>
        </w:rPr>
        <w:t>Croatia</w:t>
      </w:r>
      <w:proofErr w:type="spellEnd"/>
      <w:r>
        <w:rPr>
          <w:rFonts w:ascii="Times New Roman" w:hAnsi="Times New Roman"/>
        </w:rPr>
        <w:t>, 25703/11, 20-10-2015, §§ 79 και 81-82).</w:t>
      </w:r>
    </w:p>
    <w:p w14:paraId="714C7B8A" w14:textId="77777777" w:rsidR="00A31246" w:rsidRDefault="00347742">
      <w:pPr>
        <w:spacing w:line="360" w:lineRule="auto"/>
        <w:ind w:left="57" w:right="57" w:firstLine="720"/>
        <w:jc w:val="both"/>
        <w:rPr>
          <w:rFonts w:ascii="Times New Roman" w:hAnsi="Times New Roman"/>
        </w:rPr>
      </w:pPr>
      <w:r>
        <w:rPr>
          <w:rFonts w:ascii="Times New Roman" w:hAnsi="Times New Roman"/>
        </w:rPr>
        <w:t>Η αντίδραση όσων είχαν συνηθίσει να είναι ασύδοτοι στην παραπάνω πρότασή μας δεν μας προξένησε καμία εντύπωση. Αναμενόμενη, ιδίως στη συγκεκριμένη χρονική συγκυρία, ήταν σε έναν βαθμό και η αντίδραση των δικηγορικών συλλόγων. Αυτό, ωστόσο, που πράγματι εντυπωσιάζει ήταν η στάση της εντός και εκτός Δ.Σ. μειοψηφίας της Ένωσής μας, η οποία όχι μόνο δεν στήριξε τη σχετική προσπάθεια, αλλά επέλεξε να διακόψει την επί διετία σχεδόν διαρκή αφωνία της για να την υπονομεύσει. Έτσι, ακούσαμε ότι επιδιώξαμε τη σύγκρουση για λόγους προεκλογικούς, ενώ η αλήθεια είναι ότι για τη λήψη μέτρων για την αντιμετώπιση του φαινομένου είχαμε μιλήσει από την πρώτη μας ανακοίνωση για περίπτωση συμπεριφοράς δικηγόρου σε βάρος συναδέλφου, ήδη τον Ιούνιο του 2024. Είδαμε να υιοθετούνται από υποψήφιους άλλης ομάδας θέσεις περί προβλημάτων συμβατότητας της πρότασης μας με την ΕΣΔΑ, χωρίς, προφανώς, οποιαδήποτε ανάλυση ή αναφορά σε σχετική νομολογία. Πιο πρόσφατα διαβάσαμε για την ανακάλυψη της εντυπωσιακής «λύσης» της θέσπισης της δυνατότητας επιβολής προστίμου 300-1000 ευρώ, χωρίς να εξηγείται πώς ακριβώς το σχετικό πρόστιμο θα μπορέσει να λειτουργήσει αποτρεπτικά εκεί που η (ήδη υφιστάμενη) δυνατότητα διαβίβασης για πειθαρχικό ή ποινικό έλεγχο δεν επαρκεί.</w:t>
      </w:r>
    </w:p>
    <w:p w14:paraId="1E2C5A1E" w14:textId="77777777" w:rsidR="00A31246" w:rsidRDefault="00347742">
      <w:pPr>
        <w:spacing w:line="360" w:lineRule="auto"/>
        <w:ind w:left="57" w:right="57" w:firstLine="720"/>
        <w:jc w:val="both"/>
        <w:rPr>
          <w:rFonts w:ascii="Times New Roman" w:hAnsi="Times New Roman"/>
        </w:rPr>
      </w:pPr>
      <w:r>
        <w:rPr>
          <w:rFonts w:ascii="Times New Roman" w:hAnsi="Times New Roman"/>
        </w:rPr>
        <w:t>Ο διαρκής αγώνας για την αντιμετώπιση του προβλήματος αυτού, όπως και όλων των άλλων σοβαρών ζητημάτων που μας απασχολούν, περνάει μέσα από τις προσεχείς εκλογές. Σε αυτές καλούμαστε να επιλέξουμε τι Ένωση θέλουμε να έχουμε την επόμενη διετία. Αλλά και αντίστροφα, τα διαθέσιμα δείγματα γραφής των υποψηφίων είναι, ακριβώς, οι θέσεις και η στάση τους απέναντι στα ζητήματα που μας απασχολούν και στις σχετικές συλλογικές προσπάθειες. Στο πλαίσιο αυτό, τα όσα εντελώς συνοπτικά εκτέθηκαν παραπάνω ελπίζω ότι βοηθούν να εξαχθούν χρήσιμα συμπεράσματα για τους δύο δρόμους που ανοίγονται μπροστά μας.</w:t>
      </w:r>
    </w:p>
    <w:p w14:paraId="2689E37A" w14:textId="77777777" w:rsidR="00A31246" w:rsidRDefault="00347742">
      <w:pPr>
        <w:spacing w:line="360" w:lineRule="auto"/>
        <w:ind w:left="57" w:right="57" w:firstLine="720"/>
        <w:jc w:val="both"/>
        <w:rPr>
          <w:rFonts w:ascii="Times New Roman" w:hAnsi="Times New Roman"/>
        </w:rPr>
      </w:pPr>
      <w:r>
        <w:rPr>
          <w:rFonts w:ascii="Times New Roman" w:hAnsi="Times New Roman"/>
        </w:rPr>
        <w:t xml:space="preserve">Με τους Χριστόφορο και Χαράλαμπο </w:t>
      </w:r>
      <w:proofErr w:type="spellStart"/>
      <w:r>
        <w:rPr>
          <w:rFonts w:ascii="Times New Roman" w:hAnsi="Times New Roman"/>
        </w:rPr>
        <w:t>Σεβαστίδη</w:t>
      </w:r>
      <w:proofErr w:type="spellEnd"/>
      <w:r>
        <w:rPr>
          <w:rFonts w:ascii="Times New Roman" w:hAnsi="Times New Roman"/>
        </w:rPr>
        <w:t xml:space="preserve">, Παντελή </w:t>
      </w:r>
      <w:proofErr w:type="spellStart"/>
      <w:r>
        <w:rPr>
          <w:rFonts w:ascii="Times New Roman" w:hAnsi="Times New Roman"/>
        </w:rPr>
        <w:t>Μποροδήμο</w:t>
      </w:r>
      <w:proofErr w:type="spellEnd"/>
      <w:r>
        <w:rPr>
          <w:rFonts w:ascii="Times New Roman" w:hAnsi="Times New Roman"/>
        </w:rPr>
        <w:t xml:space="preserve">, Μιχάλη </w:t>
      </w:r>
      <w:proofErr w:type="spellStart"/>
      <w:r>
        <w:rPr>
          <w:rFonts w:ascii="Times New Roman" w:hAnsi="Times New Roman"/>
        </w:rPr>
        <w:t>Τσέφα</w:t>
      </w:r>
      <w:proofErr w:type="spellEnd"/>
      <w:r>
        <w:rPr>
          <w:rFonts w:ascii="Times New Roman" w:hAnsi="Times New Roman"/>
        </w:rPr>
        <w:t xml:space="preserve">, Γιάννη </w:t>
      </w:r>
      <w:proofErr w:type="spellStart"/>
      <w:r>
        <w:rPr>
          <w:rFonts w:ascii="Times New Roman" w:hAnsi="Times New Roman"/>
        </w:rPr>
        <w:t>Ασπρογέρακα</w:t>
      </w:r>
      <w:proofErr w:type="spellEnd"/>
      <w:r>
        <w:rPr>
          <w:rFonts w:ascii="Times New Roman" w:hAnsi="Times New Roman"/>
        </w:rPr>
        <w:t>, Μαρίνα Κάβουρα και Ζάχο Παλιούρα, ζητάμε τη στήριξή σας, ώστε να συνεχίσουμε το έργο της υπεράσπισης και ενίσχυσης της δικαστικής ανεξαρτησίας, της αποκατάστασης της εμπιστοσύνης της κοινωνίας στη δικαιοσύνη και της προάσπισης των συλλογικών μας συμφερόντων. Το μέλλον της Ένωσής μας είναι στα χέρια σας!</w:t>
      </w:r>
    </w:p>
    <w:p w14:paraId="12E88A1A" w14:textId="77777777" w:rsidR="00A31246" w:rsidRDefault="00A31246">
      <w:pPr>
        <w:spacing w:line="360" w:lineRule="auto"/>
        <w:ind w:left="777"/>
        <w:jc w:val="both"/>
        <w:rPr>
          <w:rFonts w:ascii="Times New Roman" w:hAnsi="Times New Roman"/>
        </w:rPr>
      </w:pPr>
    </w:p>
    <w:sectPr w:rsidR="00A31246">
      <w:pgSz w:w="11906" w:h="16838"/>
      <w:pgMar w:top="1134"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93FA8"/>
    <w:multiLevelType w:val="multilevel"/>
    <w:tmpl w:val="8CA4E30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512706AE"/>
    <w:multiLevelType w:val="multilevel"/>
    <w:tmpl w:val="E050FF74"/>
    <w:lvl w:ilvl="0">
      <w:start w:val="1"/>
      <w:numFmt w:val="bullet"/>
      <w:lvlText w:val=""/>
      <w:lvlJc w:val="left"/>
      <w:pPr>
        <w:tabs>
          <w:tab w:val="num" w:pos="777"/>
        </w:tabs>
        <w:ind w:left="777" w:hanging="360"/>
      </w:pPr>
      <w:rPr>
        <w:rFonts w:ascii="Symbol" w:hAnsi="Symbol" w:cs="Symbol" w:hint="default"/>
      </w:rPr>
    </w:lvl>
    <w:lvl w:ilvl="1">
      <w:start w:val="1"/>
      <w:numFmt w:val="bullet"/>
      <w:lvlText w:val="◦"/>
      <w:lvlJc w:val="left"/>
      <w:pPr>
        <w:tabs>
          <w:tab w:val="num" w:pos="1137"/>
        </w:tabs>
        <w:ind w:left="1137" w:hanging="360"/>
      </w:pPr>
      <w:rPr>
        <w:rFonts w:ascii="OpenSymbol" w:hAnsi="OpenSymbol" w:cs="OpenSymbol" w:hint="default"/>
      </w:rPr>
    </w:lvl>
    <w:lvl w:ilvl="2">
      <w:start w:val="1"/>
      <w:numFmt w:val="bullet"/>
      <w:lvlText w:val="▪"/>
      <w:lvlJc w:val="left"/>
      <w:pPr>
        <w:tabs>
          <w:tab w:val="num" w:pos="1497"/>
        </w:tabs>
        <w:ind w:left="1497" w:hanging="360"/>
      </w:pPr>
      <w:rPr>
        <w:rFonts w:ascii="OpenSymbol" w:hAnsi="OpenSymbol" w:cs="OpenSymbol" w:hint="default"/>
      </w:rPr>
    </w:lvl>
    <w:lvl w:ilvl="3">
      <w:start w:val="1"/>
      <w:numFmt w:val="bullet"/>
      <w:lvlText w:val=""/>
      <w:lvlJc w:val="left"/>
      <w:pPr>
        <w:tabs>
          <w:tab w:val="num" w:pos="1857"/>
        </w:tabs>
        <w:ind w:left="1857" w:hanging="360"/>
      </w:pPr>
      <w:rPr>
        <w:rFonts w:ascii="Symbol" w:hAnsi="Symbol" w:cs="Symbol" w:hint="default"/>
      </w:rPr>
    </w:lvl>
    <w:lvl w:ilvl="4">
      <w:start w:val="1"/>
      <w:numFmt w:val="bullet"/>
      <w:lvlText w:val="◦"/>
      <w:lvlJc w:val="left"/>
      <w:pPr>
        <w:tabs>
          <w:tab w:val="num" w:pos="2217"/>
        </w:tabs>
        <w:ind w:left="2217" w:hanging="360"/>
      </w:pPr>
      <w:rPr>
        <w:rFonts w:ascii="OpenSymbol" w:hAnsi="OpenSymbol" w:cs="OpenSymbol" w:hint="default"/>
      </w:rPr>
    </w:lvl>
    <w:lvl w:ilvl="5">
      <w:start w:val="1"/>
      <w:numFmt w:val="bullet"/>
      <w:lvlText w:val="▪"/>
      <w:lvlJc w:val="left"/>
      <w:pPr>
        <w:tabs>
          <w:tab w:val="num" w:pos="2577"/>
        </w:tabs>
        <w:ind w:left="2577" w:hanging="360"/>
      </w:pPr>
      <w:rPr>
        <w:rFonts w:ascii="OpenSymbol" w:hAnsi="OpenSymbol" w:cs="OpenSymbol" w:hint="default"/>
      </w:rPr>
    </w:lvl>
    <w:lvl w:ilvl="6">
      <w:start w:val="1"/>
      <w:numFmt w:val="bullet"/>
      <w:lvlText w:val=""/>
      <w:lvlJc w:val="left"/>
      <w:pPr>
        <w:tabs>
          <w:tab w:val="num" w:pos="2937"/>
        </w:tabs>
        <w:ind w:left="2937" w:hanging="360"/>
      </w:pPr>
      <w:rPr>
        <w:rFonts w:ascii="Symbol" w:hAnsi="Symbol" w:cs="Symbol" w:hint="default"/>
      </w:rPr>
    </w:lvl>
    <w:lvl w:ilvl="7">
      <w:start w:val="1"/>
      <w:numFmt w:val="bullet"/>
      <w:lvlText w:val="◦"/>
      <w:lvlJc w:val="left"/>
      <w:pPr>
        <w:tabs>
          <w:tab w:val="num" w:pos="3297"/>
        </w:tabs>
        <w:ind w:left="3297" w:hanging="360"/>
      </w:pPr>
      <w:rPr>
        <w:rFonts w:ascii="OpenSymbol" w:hAnsi="OpenSymbol" w:cs="OpenSymbol" w:hint="default"/>
      </w:rPr>
    </w:lvl>
    <w:lvl w:ilvl="8">
      <w:start w:val="1"/>
      <w:numFmt w:val="bullet"/>
      <w:lvlText w:val="▪"/>
      <w:lvlJc w:val="left"/>
      <w:pPr>
        <w:tabs>
          <w:tab w:val="num" w:pos="3657"/>
        </w:tabs>
        <w:ind w:left="3657"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0"/>
  <w:characterSpacingControl w:val="doNotCompress"/>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A31246"/>
    <w:rsid w:val="00063497"/>
    <w:rsid w:val="00172571"/>
    <w:rsid w:val="002A27E5"/>
    <w:rsid w:val="00330471"/>
    <w:rsid w:val="00347742"/>
    <w:rsid w:val="00403A01"/>
    <w:rsid w:val="00612102"/>
    <w:rsid w:val="008114B4"/>
    <w:rsid w:val="009A399C"/>
    <w:rsid w:val="00A31246"/>
    <w:rsid w:val="00A43AFD"/>
    <w:rsid w:val="00A80686"/>
    <w:rsid w:val="00B42CA6"/>
    <w:rsid w:val="00D46B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BF02"/>
  <w15:docId w15:val="{5D94777D-9AE0-4069-AA5D-77DD12E6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a"/>
    <w:next w:val="a3"/>
    <w:qFormat/>
    <w:pPr>
      <w:keepNext/>
      <w:spacing w:before="240" w:after="120"/>
    </w:pPr>
    <w:rPr>
      <w:rFonts w:ascii="Liberation Sans" w:eastAsia="Microsoft YaHei"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1132</Words>
  <Characters>6118</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ΕΝΩΣΗ ΔΙΚΑΣΤΩΝ ΚΑΙ ΕΙΣΑΓΓΕΛΕΩΝ</dc:creator>
  <dc:description/>
  <cp:lastModifiedBy>Harry Anthis</cp:lastModifiedBy>
  <cp:revision>2</cp:revision>
  <cp:lastPrinted>2026-05-08T10:31:00Z</cp:lastPrinted>
  <dcterms:created xsi:type="dcterms:W3CDTF">2026-05-08T15:04:00Z</dcterms:created>
  <dcterms:modified xsi:type="dcterms:W3CDTF">2026-05-08T15:04:00Z</dcterms:modified>
  <dc:language>el-GR</dc:language>
</cp:coreProperties>
</file>