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4565" w:rsidRPr="00E54565" w:rsidRDefault="00DF5AE8" w:rsidP="00DF5AE8">
      <w:pPr>
        <w:jc w:val="both"/>
        <w:rPr>
          <w:sz w:val="24"/>
          <w:szCs w:val="24"/>
          <w:u w:val="single"/>
        </w:rPr>
      </w:pPr>
      <w:bookmarkStart w:id="0" w:name="_GoBack"/>
      <w:bookmarkEnd w:id="0"/>
      <w:r>
        <w:rPr>
          <w:sz w:val="24"/>
          <w:szCs w:val="24"/>
        </w:rPr>
        <w:t xml:space="preserve">   </w:t>
      </w:r>
      <w:r w:rsidRPr="00E54565">
        <w:rPr>
          <w:sz w:val="24"/>
          <w:szCs w:val="24"/>
          <w:u w:val="single"/>
        </w:rPr>
        <w:t>Η ρύθμιση της παρ. 2 άρθρ. 1536 ΑΚ, που προστέθηκε με το άρθρ. 109 ν. 5264/2025</w:t>
      </w:r>
      <w:r w:rsidR="00E54565" w:rsidRPr="00E54565">
        <w:rPr>
          <w:sz w:val="24"/>
          <w:szCs w:val="24"/>
          <w:u w:val="single"/>
        </w:rPr>
        <w:t xml:space="preserve">                       </w:t>
      </w:r>
    </w:p>
    <w:p w:rsidR="00DF5AE8" w:rsidRDefault="00E54565" w:rsidP="00DF5AE8">
      <w:pPr>
        <w:jc w:val="both"/>
        <w:rPr>
          <w:i/>
          <w:iCs/>
        </w:rPr>
      </w:pPr>
      <w:r>
        <w:rPr>
          <w:sz w:val="24"/>
          <w:szCs w:val="24"/>
        </w:rPr>
        <w:t xml:space="preserve">                                                </w:t>
      </w:r>
      <w:r w:rsidRPr="00E54565">
        <w:rPr>
          <w:i/>
          <w:iCs/>
        </w:rPr>
        <w:t>Ερμηνευτική προσέγγιση</w:t>
      </w:r>
    </w:p>
    <w:p w:rsidR="000A6A07" w:rsidRDefault="000A6A07" w:rsidP="00DF5AE8">
      <w:pPr>
        <w:jc w:val="both"/>
        <w:rPr>
          <w:i/>
          <w:iCs/>
        </w:rPr>
      </w:pPr>
      <w:r>
        <w:rPr>
          <w:i/>
          <w:iCs/>
        </w:rPr>
        <w:t xml:space="preserve">                                                                                            Δημήτριος </w:t>
      </w:r>
      <w:proofErr w:type="spellStart"/>
      <w:r>
        <w:rPr>
          <w:i/>
          <w:iCs/>
        </w:rPr>
        <w:t>Κράνης</w:t>
      </w:r>
      <w:proofErr w:type="spellEnd"/>
      <w:r>
        <w:rPr>
          <w:i/>
          <w:iCs/>
        </w:rPr>
        <w:t xml:space="preserve">, Αντιπρόεδρος ΑΠ </w:t>
      </w:r>
      <w:proofErr w:type="spellStart"/>
      <w:r>
        <w:rPr>
          <w:i/>
          <w:iCs/>
        </w:rPr>
        <w:t>ε.τ</w:t>
      </w:r>
      <w:proofErr w:type="spellEnd"/>
      <w:r>
        <w:rPr>
          <w:i/>
          <w:iCs/>
        </w:rPr>
        <w:t>.</w:t>
      </w:r>
    </w:p>
    <w:p w:rsidR="00E54565" w:rsidRDefault="008778E6" w:rsidP="00DF5AE8">
      <w:pPr>
        <w:jc w:val="both"/>
        <w:rPr>
          <w:sz w:val="24"/>
          <w:szCs w:val="24"/>
        </w:rPr>
      </w:pPr>
      <w:r>
        <w:rPr>
          <w:sz w:val="24"/>
          <w:szCs w:val="24"/>
        </w:rPr>
        <w:t xml:space="preserve">       </w:t>
      </w:r>
      <w:r w:rsidR="001732A8">
        <w:rPr>
          <w:sz w:val="24"/>
          <w:szCs w:val="24"/>
        </w:rPr>
        <w:t xml:space="preserve">1. </w:t>
      </w:r>
      <w:r>
        <w:rPr>
          <w:sz w:val="24"/>
          <w:szCs w:val="24"/>
        </w:rPr>
        <w:t>Με το άρθρ. 17 του ν. 1329/1983 εισήχθη νέα ρύθμιση στο άρθρ. 1536 ΑΚ, σύμφωνα με την οποία, «</w:t>
      </w:r>
      <w:r w:rsidRPr="008778E6">
        <w:rPr>
          <w:i/>
          <w:iCs/>
          <w:sz w:val="24"/>
          <w:szCs w:val="24"/>
        </w:rPr>
        <w:t>αν από τότε που εκδόθηκε δικαστική απόφαση σχετική με τη γονική μέριμνα μεταβλήθηκαν οι συνθήκες, το δικαστήριο οφείλει, ύστερα από αίτηση ενός ή και των δυο γονέων, των πλησιέστερων συγγενών του τέκνου ή του εισαγγελέα, να προσαρμόσει την απόφασή του στις νέες συνθήκες ανακαλώντας ή μεταρρυθμίζοντάς την, σύμφωνα με το συμφέρον του τέκνου, και ιδίως να αποδώσει στους γονείς την άσκηση της γονικής μέριμνας που τους έχει αφαιρεθεί</w:t>
      </w:r>
      <w:r>
        <w:rPr>
          <w:sz w:val="24"/>
          <w:szCs w:val="24"/>
        </w:rPr>
        <w:t xml:space="preserve">». </w:t>
      </w:r>
      <w:r w:rsidR="0063196E">
        <w:rPr>
          <w:sz w:val="24"/>
          <w:szCs w:val="24"/>
        </w:rPr>
        <w:t xml:space="preserve">Η ρύθμιση παρακάμπτει τη σταθερότητα των δικαστικών αποφάσεων, που απορρέει από το </w:t>
      </w:r>
      <w:proofErr w:type="spellStart"/>
      <w:r w:rsidR="0063196E">
        <w:rPr>
          <w:sz w:val="24"/>
          <w:szCs w:val="24"/>
        </w:rPr>
        <w:t>δεδικασμένο</w:t>
      </w:r>
      <w:proofErr w:type="spellEnd"/>
      <w:r w:rsidR="0063196E">
        <w:rPr>
          <w:sz w:val="24"/>
          <w:szCs w:val="24"/>
        </w:rPr>
        <w:t xml:space="preserve"> (άρθρ. 321, 322, 324</w:t>
      </w:r>
      <w:r w:rsidR="000D5B87">
        <w:rPr>
          <w:sz w:val="24"/>
          <w:szCs w:val="24"/>
        </w:rPr>
        <w:t xml:space="preserve"> </w:t>
      </w:r>
      <w:proofErr w:type="spellStart"/>
      <w:r w:rsidR="0063196E">
        <w:rPr>
          <w:sz w:val="24"/>
          <w:szCs w:val="24"/>
        </w:rPr>
        <w:t>ΚΠολΔ</w:t>
      </w:r>
      <w:proofErr w:type="spellEnd"/>
      <w:r w:rsidR="0063196E">
        <w:rPr>
          <w:sz w:val="24"/>
          <w:szCs w:val="24"/>
        </w:rPr>
        <w:t>), παρέχοντας τη δυνατότητα προσαρμογής τους στις νέες συνθήκες για χάρη του συμφέροντος του παιδιού, που αποτελεί και το μόνο κριτήριο</w:t>
      </w:r>
      <w:r w:rsidR="00C70EA3">
        <w:rPr>
          <w:sz w:val="24"/>
          <w:szCs w:val="24"/>
        </w:rPr>
        <w:t xml:space="preserve"> αξιολόγησης της ύπαρξης κρίσιμης μεταβολής των συνθηκών.</w:t>
      </w:r>
      <w:r w:rsidR="0063196E">
        <w:rPr>
          <w:sz w:val="24"/>
          <w:szCs w:val="24"/>
        </w:rPr>
        <w:t xml:space="preserve"> </w:t>
      </w:r>
      <w:r w:rsidR="00C70EA3">
        <w:rPr>
          <w:sz w:val="24"/>
          <w:szCs w:val="24"/>
        </w:rPr>
        <w:t xml:space="preserve">Οι νέες συνθήκες μπορεί να </w:t>
      </w:r>
      <w:r w:rsidR="002577D1">
        <w:rPr>
          <w:sz w:val="24"/>
          <w:szCs w:val="24"/>
        </w:rPr>
        <w:t>αφορούν το πρόσωπο του παιδιού, των γονέων του ή γενικά του κοινωνικού περιβάλλοντός του και πρέπει πάντως να επήλθαν μετά την τελεσιδικία της απόφασης (</w:t>
      </w:r>
      <w:proofErr w:type="spellStart"/>
      <w:r w:rsidR="002577D1" w:rsidRPr="00DF63D6">
        <w:rPr>
          <w:i/>
          <w:iCs/>
        </w:rPr>
        <w:t>Εφ</w:t>
      </w:r>
      <w:r w:rsidR="00236359" w:rsidRPr="00DF63D6">
        <w:rPr>
          <w:i/>
          <w:iCs/>
        </w:rPr>
        <w:t>Αθ</w:t>
      </w:r>
      <w:proofErr w:type="spellEnd"/>
      <w:r w:rsidR="00236359" w:rsidRPr="00DF63D6">
        <w:rPr>
          <w:i/>
          <w:iCs/>
        </w:rPr>
        <w:t xml:space="preserve"> 10059/2005</w:t>
      </w:r>
      <w:r w:rsidR="00DF63D6">
        <w:rPr>
          <w:i/>
          <w:iCs/>
        </w:rPr>
        <w:t xml:space="preserve">, </w:t>
      </w:r>
      <w:proofErr w:type="spellStart"/>
      <w:r w:rsidR="00DF63D6">
        <w:rPr>
          <w:i/>
          <w:iCs/>
        </w:rPr>
        <w:t>ΕλλΔνη</w:t>
      </w:r>
      <w:proofErr w:type="spellEnd"/>
      <w:r w:rsidR="00DF63D6">
        <w:rPr>
          <w:i/>
          <w:iCs/>
        </w:rPr>
        <w:t xml:space="preserve"> 2017.1121</w:t>
      </w:r>
      <w:r w:rsidR="00236359">
        <w:rPr>
          <w:i/>
          <w:iCs/>
        </w:rPr>
        <w:t xml:space="preserve">· </w:t>
      </w:r>
      <w:proofErr w:type="spellStart"/>
      <w:r w:rsidR="00236359">
        <w:rPr>
          <w:i/>
          <w:iCs/>
        </w:rPr>
        <w:t>Εφ</w:t>
      </w:r>
      <w:r w:rsidR="002577D1" w:rsidRPr="002577D1">
        <w:rPr>
          <w:i/>
          <w:iCs/>
        </w:rPr>
        <w:t>Δωδ</w:t>
      </w:r>
      <w:proofErr w:type="spellEnd"/>
      <w:r w:rsidR="002577D1" w:rsidRPr="002577D1">
        <w:rPr>
          <w:i/>
          <w:iCs/>
        </w:rPr>
        <w:t xml:space="preserve"> 55/2021</w:t>
      </w:r>
      <w:r w:rsidR="00236359">
        <w:rPr>
          <w:i/>
          <w:iCs/>
        </w:rPr>
        <w:t xml:space="preserve">· </w:t>
      </w:r>
      <w:bookmarkStart w:id="1" w:name="_Hlk220844163"/>
      <w:proofErr w:type="spellStart"/>
      <w:r w:rsidR="007641E3">
        <w:rPr>
          <w:i/>
          <w:iCs/>
        </w:rPr>
        <w:t>ΜονΠρΠειρ</w:t>
      </w:r>
      <w:proofErr w:type="spellEnd"/>
      <w:r w:rsidR="007641E3">
        <w:rPr>
          <w:i/>
          <w:iCs/>
        </w:rPr>
        <w:t xml:space="preserve"> 3381/2014· </w:t>
      </w:r>
      <w:proofErr w:type="spellStart"/>
      <w:r w:rsidR="007641E3">
        <w:rPr>
          <w:i/>
          <w:iCs/>
        </w:rPr>
        <w:t>ΜονΠρΣερ</w:t>
      </w:r>
      <w:proofErr w:type="spellEnd"/>
      <w:r w:rsidR="007641E3">
        <w:rPr>
          <w:i/>
          <w:iCs/>
        </w:rPr>
        <w:t xml:space="preserve"> 22/2018· </w:t>
      </w:r>
      <w:proofErr w:type="spellStart"/>
      <w:r w:rsidR="00DF63D6">
        <w:rPr>
          <w:i/>
          <w:iCs/>
        </w:rPr>
        <w:t>ΜονΠρΛαρ</w:t>
      </w:r>
      <w:proofErr w:type="spellEnd"/>
      <w:r w:rsidR="00DF63D6">
        <w:rPr>
          <w:i/>
          <w:iCs/>
        </w:rPr>
        <w:t xml:space="preserve"> 424/2019· </w:t>
      </w:r>
      <w:proofErr w:type="spellStart"/>
      <w:r w:rsidR="007641E3">
        <w:rPr>
          <w:i/>
          <w:iCs/>
        </w:rPr>
        <w:t>ΜονΠρΠατρ</w:t>
      </w:r>
      <w:proofErr w:type="spellEnd"/>
      <w:r w:rsidR="007641E3">
        <w:rPr>
          <w:i/>
          <w:iCs/>
        </w:rPr>
        <w:t xml:space="preserve"> 187/2021· </w:t>
      </w:r>
      <w:proofErr w:type="spellStart"/>
      <w:r w:rsidR="00236359">
        <w:rPr>
          <w:i/>
          <w:iCs/>
        </w:rPr>
        <w:t>ΜονΠρΘεσ</w:t>
      </w:r>
      <w:proofErr w:type="spellEnd"/>
      <w:r w:rsidR="00236359">
        <w:rPr>
          <w:i/>
          <w:iCs/>
        </w:rPr>
        <w:t xml:space="preserve"> 10975/2022</w:t>
      </w:r>
      <w:bookmarkEnd w:id="1"/>
      <w:r w:rsidR="00182BE7">
        <w:rPr>
          <w:i/>
          <w:iCs/>
        </w:rPr>
        <w:t xml:space="preserve">· </w:t>
      </w:r>
      <w:bookmarkStart w:id="2" w:name="_Hlk220843920"/>
      <w:proofErr w:type="spellStart"/>
      <w:r w:rsidR="00182BE7">
        <w:rPr>
          <w:i/>
          <w:iCs/>
        </w:rPr>
        <w:t>ΜονΠρΑθ</w:t>
      </w:r>
      <w:proofErr w:type="spellEnd"/>
      <w:r w:rsidR="00182BE7">
        <w:rPr>
          <w:i/>
          <w:iCs/>
        </w:rPr>
        <w:t xml:space="preserve"> 1539/2024</w:t>
      </w:r>
      <w:bookmarkEnd w:id="2"/>
      <w:r w:rsidR="00182BE7">
        <w:rPr>
          <w:i/>
          <w:iCs/>
        </w:rPr>
        <w:t>,</w:t>
      </w:r>
      <w:r w:rsidR="00236359">
        <w:rPr>
          <w:i/>
          <w:iCs/>
        </w:rPr>
        <w:t xml:space="preserve"> ΤΝΠ ΝΟΜΟΣ</w:t>
      </w:r>
      <w:r w:rsidR="002577D1">
        <w:rPr>
          <w:sz w:val="24"/>
          <w:szCs w:val="24"/>
        </w:rPr>
        <w:t>).</w:t>
      </w:r>
      <w:r>
        <w:rPr>
          <w:sz w:val="24"/>
          <w:szCs w:val="24"/>
        </w:rPr>
        <w:t xml:space="preserve"> </w:t>
      </w:r>
      <w:r w:rsidR="002577D1">
        <w:rPr>
          <w:sz w:val="24"/>
          <w:szCs w:val="24"/>
        </w:rPr>
        <w:t xml:space="preserve">Δηλαδή η σχετική με τη γονική μέριμνα ανακαλούμενη ή μεταρρυθμιζόμενη απόφαση πρέπει να είναι </w:t>
      </w:r>
      <w:r w:rsidR="002577D1" w:rsidRPr="00EC1998">
        <w:rPr>
          <w:b/>
          <w:bCs/>
          <w:sz w:val="24"/>
          <w:szCs w:val="24"/>
        </w:rPr>
        <w:t>τελεσίδικη</w:t>
      </w:r>
      <w:r w:rsidR="00403FE1" w:rsidRPr="00EC1998">
        <w:rPr>
          <w:sz w:val="24"/>
          <w:szCs w:val="24"/>
        </w:rPr>
        <w:t xml:space="preserve"> (</w:t>
      </w:r>
      <w:proofErr w:type="spellStart"/>
      <w:r w:rsidR="00403FE1" w:rsidRPr="00EC1998">
        <w:rPr>
          <w:i/>
          <w:iCs/>
        </w:rPr>
        <w:t>ΜονΠρΘεσ</w:t>
      </w:r>
      <w:proofErr w:type="spellEnd"/>
      <w:r w:rsidR="00403FE1" w:rsidRPr="00EC1998">
        <w:rPr>
          <w:i/>
          <w:iCs/>
        </w:rPr>
        <w:t xml:space="preserve"> 45731/2006, ΤΝΠ ΝΟΜΟΣ</w:t>
      </w:r>
      <w:r w:rsidR="00403FE1" w:rsidRPr="00EC1998">
        <w:rPr>
          <w:sz w:val="24"/>
          <w:szCs w:val="24"/>
        </w:rPr>
        <w:t>)</w:t>
      </w:r>
      <w:r w:rsidR="002577D1" w:rsidRPr="00EC1998">
        <w:rPr>
          <w:sz w:val="24"/>
          <w:szCs w:val="24"/>
        </w:rPr>
        <w:t xml:space="preserve"> ή </w:t>
      </w:r>
      <w:r w:rsidR="00107A15" w:rsidRPr="00EC1998">
        <w:rPr>
          <w:sz w:val="24"/>
          <w:szCs w:val="24"/>
        </w:rPr>
        <w:t>κατά περίπτωση</w:t>
      </w:r>
      <w:r w:rsidRPr="00EC1998">
        <w:rPr>
          <w:sz w:val="24"/>
          <w:szCs w:val="24"/>
        </w:rPr>
        <w:t xml:space="preserve"> </w:t>
      </w:r>
      <w:r w:rsidR="00107A15" w:rsidRPr="00EC1998">
        <w:rPr>
          <w:b/>
          <w:bCs/>
          <w:sz w:val="24"/>
          <w:szCs w:val="24"/>
        </w:rPr>
        <w:t>ανέκκλητη</w:t>
      </w:r>
      <w:r w:rsidR="00107A15">
        <w:rPr>
          <w:sz w:val="24"/>
          <w:szCs w:val="24"/>
        </w:rPr>
        <w:t>, όπως άλλωστε απαιτείται και για τη μεταρρύθμιση απόφασης για περιοδικές παροχές λόγω μεταβολής των συνθηκών στις οποίες στηρίχθηκε η έκδοσή της (</w:t>
      </w:r>
      <w:proofErr w:type="spellStart"/>
      <w:r w:rsidR="00107A15">
        <w:rPr>
          <w:sz w:val="24"/>
          <w:szCs w:val="24"/>
        </w:rPr>
        <w:t>ΚΠολΔ</w:t>
      </w:r>
      <w:proofErr w:type="spellEnd"/>
      <w:r w:rsidR="00107A15">
        <w:rPr>
          <w:sz w:val="24"/>
          <w:szCs w:val="24"/>
        </w:rPr>
        <w:t xml:space="preserve"> 334).   </w:t>
      </w:r>
      <w:r w:rsidR="00045B93">
        <w:rPr>
          <w:sz w:val="24"/>
          <w:szCs w:val="24"/>
        </w:rPr>
        <w:t xml:space="preserve"> </w:t>
      </w:r>
      <w:r w:rsidR="00045B93" w:rsidRPr="00045B93">
        <w:rPr>
          <w:sz w:val="24"/>
          <w:szCs w:val="24"/>
        </w:rPr>
        <w:t xml:space="preserve"> </w:t>
      </w:r>
    </w:p>
    <w:p w:rsidR="003E097F" w:rsidRDefault="001732A8" w:rsidP="00DF5AE8">
      <w:pPr>
        <w:jc w:val="both"/>
        <w:rPr>
          <w:sz w:val="24"/>
          <w:szCs w:val="24"/>
        </w:rPr>
      </w:pPr>
      <w:r>
        <w:rPr>
          <w:sz w:val="24"/>
          <w:szCs w:val="24"/>
        </w:rPr>
        <w:t xml:space="preserve">       2. Αρμόδιο δικαστήριο για την προσαρμογή της απόφασης που αφορά τη γονική μέριμνα στις νέες συνθήκες, είναι το δικαστήριο που εξέδωσε την αρχική απόφαση, δηλαδή το μονομελές πρωτοδικείο (</w:t>
      </w:r>
      <w:proofErr w:type="spellStart"/>
      <w:r>
        <w:rPr>
          <w:sz w:val="24"/>
          <w:szCs w:val="24"/>
        </w:rPr>
        <w:t>ΚΠολΔ</w:t>
      </w:r>
      <w:proofErr w:type="spellEnd"/>
      <w:r>
        <w:rPr>
          <w:sz w:val="24"/>
          <w:szCs w:val="24"/>
        </w:rPr>
        <w:t xml:space="preserve"> 17 αριθ. 2), που δικάζει κατά την ειδική διαδικασία των οικογενειακών διαφορών (</w:t>
      </w:r>
      <w:proofErr w:type="spellStart"/>
      <w:r>
        <w:rPr>
          <w:sz w:val="24"/>
          <w:szCs w:val="24"/>
        </w:rPr>
        <w:t>ΚΠολΔ</w:t>
      </w:r>
      <w:proofErr w:type="spellEnd"/>
      <w:r>
        <w:rPr>
          <w:sz w:val="24"/>
          <w:szCs w:val="24"/>
        </w:rPr>
        <w:t xml:space="preserve"> 592 αριθ. 3).</w:t>
      </w:r>
      <w:r w:rsidR="00C77D72">
        <w:rPr>
          <w:sz w:val="24"/>
          <w:szCs w:val="24"/>
        </w:rPr>
        <w:t xml:space="preserve"> Το δικαστήριο αυτό είναι αρμόδιο ακόμη και αν η απόφαση της οποίας ζητείται η ανάκληση ή αναλόγως η μεταρρύθμιση εκδόθηκε από το εφετείο, το οποίο εξαφανίζοντας την πρωτόδικη </w:t>
      </w:r>
      <w:r w:rsidR="00595604">
        <w:rPr>
          <w:sz w:val="24"/>
          <w:szCs w:val="24"/>
        </w:rPr>
        <w:t xml:space="preserve"> </w:t>
      </w:r>
      <w:r w:rsidR="00C77D72">
        <w:rPr>
          <w:sz w:val="24"/>
          <w:szCs w:val="24"/>
        </w:rPr>
        <w:t>απόφαση κατά παραδοχή λόγου έφεσης κράτησε την υπόθεση και την δίκασε στην ουσία (</w:t>
      </w:r>
      <w:proofErr w:type="spellStart"/>
      <w:r w:rsidR="00C77D72" w:rsidRPr="00236359">
        <w:rPr>
          <w:i/>
          <w:iCs/>
        </w:rPr>
        <w:t>Εφ</w:t>
      </w:r>
      <w:r w:rsidR="00236359" w:rsidRPr="00236359">
        <w:rPr>
          <w:i/>
          <w:iCs/>
        </w:rPr>
        <w:t>Θεσ</w:t>
      </w:r>
      <w:proofErr w:type="spellEnd"/>
      <w:r w:rsidR="00236359" w:rsidRPr="00236359">
        <w:rPr>
          <w:i/>
          <w:iCs/>
        </w:rPr>
        <w:t xml:space="preserve"> 276/2000, </w:t>
      </w:r>
      <w:proofErr w:type="spellStart"/>
      <w:r w:rsidR="00236359" w:rsidRPr="00236359">
        <w:rPr>
          <w:i/>
          <w:iCs/>
        </w:rPr>
        <w:t>Αρμ</w:t>
      </w:r>
      <w:proofErr w:type="spellEnd"/>
      <w:r w:rsidR="00236359" w:rsidRPr="00236359">
        <w:rPr>
          <w:i/>
          <w:iCs/>
        </w:rPr>
        <w:t xml:space="preserve"> 2000.1385· 1560/2003, </w:t>
      </w:r>
      <w:proofErr w:type="spellStart"/>
      <w:r w:rsidR="00236359" w:rsidRPr="00236359">
        <w:rPr>
          <w:i/>
          <w:iCs/>
        </w:rPr>
        <w:t>Αρμ</w:t>
      </w:r>
      <w:proofErr w:type="spellEnd"/>
      <w:r w:rsidR="00236359" w:rsidRPr="00236359">
        <w:rPr>
          <w:i/>
          <w:iCs/>
        </w:rPr>
        <w:t xml:space="preserve"> 2003</w:t>
      </w:r>
      <w:r w:rsidR="00182BE7">
        <w:rPr>
          <w:i/>
          <w:iCs/>
        </w:rPr>
        <w:t>.</w:t>
      </w:r>
      <w:r w:rsidR="00236359" w:rsidRPr="00236359">
        <w:rPr>
          <w:i/>
          <w:iCs/>
        </w:rPr>
        <w:t xml:space="preserve">1273· </w:t>
      </w:r>
      <w:proofErr w:type="spellStart"/>
      <w:r w:rsidR="00E27B8B">
        <w:rPr>
          <w:i/>
          <w:iCs/>
        </w:rPr>
        <w:t>ΕφΛαρ</w:t>
      </w:r>
      <w:proofErr w:type="spellEnd"/>
      <w:r w:rsidR="00E27B8B">
        <w:rPr>
          <w:i/>
          <w:iCs/>
        </w:rPr>
        <w:t xml:space="preserve"> 605/2008· </w:t>
      </w:r>
      <w:proofErr w:type="spellStart"/>
      <w:r w:rsidR="00236359" w:rsidRPr="00236359">
        <w:rPr>
          <w:i/>
          <w:iCs/>
        </w:rPr>
        <w:t>ΜονΠρΚιλκ</w:t>
      </w:r>
      <w:proofErr w:type="spellEnd"/>
      <w:r w:rsidR="00236359" w:rsidRPr="00236359">
        <w:rPr>
          <w:i/>
          <w:iCs/>
        </w:rPr>
        <w:t xml:space="preserve"> 107/20</w:t>
      </w:r>
      <w:r w:rsidR="00182BE7">
        <w:rPr>
          <w:i/>
          <w:iCs/>
        </w:rPr>
        <w:t>2</w:t>
      </w:r>
      <w:r w:rsidR="00236359" w:rsidRPr="00236359">
        <w:rPr>
          <w:i/>
          <w:iCs/>
        </w:rPr>
        <w:t>2</w:t>
      </w:r>
      <w:r w:rsidR="00182BE7">
        <w:rPr>
          <w:i/>
          <w:iCs/>
        </w:rPr>
        <w:t xml:space="preserve">· </w:t>
      </w:r>
      <w:proofErr w:type="spellStart"/>
      <w:r w:rsidR="00595604">
        <w:rPr>
          <w:i/>
          <w:iCs/>
        </w:rPr>
        <w:t>ΜονΠρΘεσ</w:t>
      </w:r>
      <w:proofErr w:type="spellEnd"/>
      <w:r w:rsidR="00595604">
        <w:rPr>
          <w:i/>
          <w:iCs/>
        </w:rPr>
        <w:t xml:space="preserve"> 10975/2022· </w:t>
      </w:r>
      <w:proofErr w:type="spellStart"/>
      <w:r w:rsidR="00182BE7">
        <w:rPr>
          <w:i/>
          <w:iCs/>
        </w:rPr>
        <w:t>ΜονΠρΑθ</w:t>
      </w:r>
      <w:proofErr w:type="spellEnd"/>
      <w:r w:rsidR="00182BE7">
        <w:rPr>
          <w:i/>
          <w:iCs/>
        </w:rPr>
        <w:t xml:space="preserve"> 1539/2024,</w:t>
      </w:r>
      <w:r w:rsidR="00236359" w:rsidRPr="00236359">
        <w:rPr>
          <w:i/>
          <w:iCs/>
        </w:rPr>
        <w:t xml:space="preserve"> ΤΝΠ ΝΟΜΟΣ</w:t>
      </w:r>
      <w:r w:rsidR="00236359">
        <w:rPr>
          <w:sz w:val="24"/>
          <w:szCs w:val="24"/>
        </w:rPr>
        <w:t>).</w:t>
      </w:r>
      <w:r w:rsidR="00C77D72">
        <w:rPr>
          <w:sz w:val="24"/>
          <w:szCs w:val="24"/>
        </w:rPr>
        <w:t xml:space="preserve"> </w:t>
      </w:r>
    </w:p>
    <w:p w:rsidR="001732A8" w:rsidRDefault="003E097F" w:rsidP="00DF5AE8">
      <w:pPr>
        <w:jc w:val="both"/>
        <w:rPr>
          <w:sz w:val="24"/>
          <w:szCs w:val="24"/>
        </w:rPr>
      </w:pPr>
      <w:r>
        <w:rPr>
          <w:sz w:val="24"/>
          <w:szCs w:val="24"/>
        </w:rPr>
        <w:t xml:space="preserve">       3. </w:t>
      </w:r>
      <w:r w:rsidR="00C42D8A">
        <w:rPr>
          <w:sz w:val="24"/>
          <w:szCs w:val="24"/>
        </w:rPr>
        <w:t xml:space="preserve">Η ρυθμιστική της γονικής μέριμνας απόφαση, </w:t>
      </w:r>
      <w:r>
        <w:rPr>
          <w:sz w:val="24"/>
          <w:szCs w:val="24"/>
        </w:rPr>
        <w:t xml:space="preserve">είτε </w:t>
      </w:r>
      <w:r w:rsidR="00C42D8A">
        <w:rPr>
          <w:sz w:val="24"/>
          <w:szCs w:val="24"/>
        </w:rPr>
        <w:t xml:space="preserve">αρχική </w:t>
      </w:r>
      <w:r>
        <w:rPr>
          <w:sz w:val="24"/>
          <w:szCs w:val="24"/>
        </w:rPr>
        <w:t>είτε</w:t>
      </w:r>
      <w:r w:rsidR="00C42D8A">
        <w:rPr>
          <w:sz w:val="24"/>
          <w:szCs w:val="24"/>
        </w:rPr>
        <w:t xml:space="preserve"> ανακλητική ή μεταρρυθμιστική της αρχικής απόφασης έχει διαπλαστικό χαρακτήρα (</w:t>
      </w:r>
      <w:proofErr w:type="spellStart"/>
      <w:r w:rsidR="00C42D8A" w:rsidRPr="00C42D8A">
        <w:rPr>
          <w:i/>
          <w:iCs/>
        </w:rPr>
        <w:t>ΜονΠρΑλεξ</w:t>
      </w:r>
      <w:proofErr w:type="spellEnd"/>
      <w:r w:rsidR="00C42D8A" w:rsidRPr="00C42D8A">
        <w:rPr>
          <w:i/>
          <w:iCs/>
        </w:rPr>
        <w:t xml:space="preserve"> 23/2014, ΤΝΠ ΝΟΜΟΣ</w:t>
      </w:r>
      <w:r w:rsidR="00C42D8A">
        <w:rPr>
          <w:sz w:val="24"/>
          <w:szCs w:val="24"/>
        </w:rPr>
        <w:t xml:space="preserve">) και άρα αναπτύσσει την ενέργεια της, αφότου περιβληθεί με ισχύ </w:t>
      </w:r>
      <w:proofErr w:type="spellStart"/>
      <w:r w:rsidR="00C42D8A">
        <w:rPr>
          <w:sz w:val="24"/>
          <w:szCs w:val="24"/>
        </w:rPr>
        <w:t>δεδικασμένου</w:t>
      </w:r>
      <w:proofErr w:type="spellEnd"/>
      <w:r w:rsidR="00C42D8A">
        <w:rPr>
          <w:sz w:val="24"/>
          <w:szCs w:val="24"/>
        </w:rPr>
        <w:t xml:space="preserve">. </w:t>
      </w:r>
      <w:r w:rsidR="0046344D">
        <w:rPr>
          <w:sz w:val="24"/>
          <w:szCs w:val="24"/>
        </w:rPr>
        <w:t xml:space="preserve">Κατ’ αυτήν την έννοια η απόφαση </w:t>
      </w:r>
      <w:r w:rsidR="005949C8">
        <w:rPr>
          <w:sz w:val="24"/>
          <w:szCs w:val="24"/>
        </w:rPr>
        <w:t>στερείται</w:t>
      </w:r>
      <w:r w:rsidR="0046344D">
        <w:rPr>
          <w:sz w:val="24"/>
          <w:szCs w:val="24"/>
        </w:rPr>
        <w:t xml:space="preserve"> </w:t>
      </w:r>
      <w:proofErr w:type="spellStart"/>
      <w:r w:rsidR="0046344D">
        <w:rPr>
          <w:sz w:val="24"/>
          <w:szCs w:val="24"/>
        </w:rPr>
        <w:t>εκτελεστότητα</w:t>
      </w:r>
      <w:r w:rsidR="005949C8">
        <w:rPr>
          <w:sz w:val="24"/>
          <w:szCs w:val="24"/>
        </w:rPr>
        <w:t>ς</w:t>
      </w:r>
      <w:proofErr w:type="spellEnd"/>
      <w:r w:rsidR="005949C8">
        <w:rPr>
          <w:sz w:val="24"/>
          <w:szCs w:val="24"/>
        </w:rPr>
        <w:t xml:space="preserve">, εκτός αν περιέχει </w:t>
      </w:r>
      <w:proofErr w:type="spellStart"/>
      <w:r w:rsidR="005949C8">
        <w:rPr>
          <w:sz w:val="24"/>
          <w:szCs w:val="24"/>
        </w:rPr>
        <w:t>καταψηφιστικές</w:t>
      </w:r>
      <w:proofErr w:type="spellEnd"/>
      <w:r w:rsidR="005949C8">
        <w:rPr>
          <w:sz w:val="24"/>
          <w:szCs w:val="24"/>
        </w:rPr>
        <w:t xml:space="preserve"> διατάξεις. Δηλαδή δεν αρκεί να ρυθμίζεται η γονική μέριμνα και ιδίως η επιμέλεια του τέκνου ή το δικαίωμα επικοινωνίας με αυτό, </w:t>
      </w:r>
      <w:r w:rsidR="005949C8">
        <w:rPr>
          <w:sz w:val="24"/>
          <w:szCs w:val="24"/>
        </w:rPr>
        <w:lastRenderedPageBreak/>
        <w:t>αλλά πρέπει να διατάσσεται παράλληλα η παράδοση ή η απόδοσή του, η ανοχή του τρόπου επικοινωνίας</w:t>
      </w:r>
      <w:r w:rsidR="00D04204">
        <w:rPr>
          <w:sz w:val="24"/>
          <w:szCs w:val="24"/>
        </w:rPr>
        <w:t xml:space="preserve"> ή η παράλειψη αντίθετων ενεργειών (</w:t>
      </w:r>
      <w:proofErr w:type="spellStart"/>
      <w:r w:rsidR="00D04204" w:rsidRPr="001402C3">
        <w:rPr>
          <w:i/>
          <w:iCs/>
        </w:rPr>
        <w:t>ΜονΠρΘεσ</w:t>
      </w:r>
      <w:proofErr w:type="spellEnd"/>
      <w:r w:rsidR="00D04204" w:rsidRPr="001402C3">
        <w:rPr>
          <w:i/>
          <w:iCs/>
        </w:rPr>
        <w:t xml:space="preserve"> 8337/2016, </w:t>
      </w:r>
      <w:proofErr w:type="spellStart"/>
      <w:r w:rsidR="00D04204" w:rsidRPr="001402C3">
        <w:rPr>
          <w:i/>
          <w:iCs/>
        </w:rPr>
        <w:t>Αρμ</w:t>
      </w:r>
      <w:proofErr w:type="spellEnd"/>
      <w:r w:rsidR="00D04204" w:rsidRPr="001402C3">
        <w:rPr>
          <w:i/>
          <w:iCs/>
        </w:rPr>
        <w:t xml:space="preserve"> 2018.1862· 3926/2018, </w:t>
      </w:r>
      <w:proofErr w:type="spellStart"/>
      <w:r w:rsidR="00D04204" w:rsidRPr="001402C3">
        <w:rPr>
          <w:i/>
          <w:iCs/>
        </w:rPr>
        <w:t>ΕλλΔνη</w:t>
      </w:r>
      <w:proofErr w:type="spellEnd"/>
      <w:r w:rsidR="00D04204" w:rsidRPr="001402C3">
        <w:rPr>
          <w:i/>
          <w:iCs/>
        </w:rPr>
        <w:t xml:space="preserve"> 2019.529· </w:t>
      </w:r>
      <w:proofErr w:type="spellStart"/>
      <w:r w:rsidR="00D04204" w:rsidRPr="001402C3">
        <w:rPr>
          <w:i/>
          <w:iCs/>
        </w:rPr>
        <w:t>ΜονΠρΑθ</w:t>
      </w:r>
      <w:proofErr w:type="spellEnd"/>
      <w:r w:rsidR="00D04204" w:rsidRPr="001402C3">
        <w:rPr>
          <w:i/>
          <w:iCs/>
        </w:rPr>
        <w:t xml:space="preserve"> 4809/2017, </w:t>
      </w:r>
      <w:proofErr w:type="spellStart"/>
      <w:r w:rsidR="00D04204" w:rsidRPr="001402C3">
        <w:rPr>
          <w:i/>
          <w:iCs/>
        </w:rPr>
        <w:t>ΝοΒ</w:t>
      </w:r>
      <w:proofErr w:type="spellEnd"/>
      <w:r w:rsidR="00D04204" w:rsidRPr="001402C3">
        <w:rPr>
          <w:i/>
          <w:iCs/>
        </w:rPr>
        <w:t xml:space="preserve"> 2017.1835·</w:t>
      </w:r>
      <w:r w:rsidR="001402C3" w:rsidRPr="001402C3">
        <w:rPr>
          <w:i/>
          <w:iCs/>
        </w:rPr>
        <w:t xml:space="preserve"> </w:t>
      </w:r>
      <w:bookmarkStart w:id="3" w:name="_Hlk221098821"/>
      <w:proofErr w:type="spellStart"/>
      <w:r w:rsidR="001402C3" w:rsidRPr="001402C3">
        <w:rPr>
          <w:i/>
          <w:iCs/>
        </w:rPr>
        <w:t>Κεραμεύς</w:t>
      </w:r>
      <w:proofErr w:type="spellEnd"/>
      <w:r w:rsidR="001402C3" w:rsidRPr="001402C3">
        <w:rPr>
          <w:i/>
          <w:iCs/>
        </w:rPr>
        <w:t>/Κονδύλης/Νίκας (-</w:t>
      </w:r>
      <w:proofErr w:type="spellStart"/>
      <w:r w:rsidR="001402C3" w:rsidRPr="001402C3">
        <w:rPr>
          <w:i/>
          <w:iCs/>
        </w:rPr>
        <w:t>Κράνης</w:t>
      </w:r>
      <w:proofErr w:type="spellEnd"/>
      <w:r w:rsidR="001402C3" w:rsidRPr="001402C3">
        <w:rPr>
          <w:i/>
          <w:iCs/>
        </w:rPr>
        <w:t xml:space="preserve">) </w:t>
      </w:r>
      <w:proofErr w:type="spellStart"/>
      <w:r w:rsidR="001402C3" w:rsidRPr="001402C3">
        <w:rPr>
          <w:i/>
          <w:iCs/>
        </w:rPr>
        <w:t>ΕρμΚΠολΔ</w:t>
      </w:r>
      <w:proofErr w:type="spellEnd"/>
      <w:r w:rsidR="001402C3" w:rsidRPr="001402C3">
        <w:rPr>
          <w:i/>
          <w:iCs/>
        </w:rPr>
        <w:t xml:space="preserve"> 2020</w:t>
      </w:r>
      <w:r w:rsidR="001402C3">
        <w:rPr>
          <w:i/>
          <w:iCs/>
          <w:vertAlign w:val="superscript"/>
        </w:rPr>
        <w:t>2</w:t>
      </w:r>
      <w:r w:rsidR="001402C3" w:rsidRPr="001402C3">
        <w:rPr>
          <w:i/>
          <w:iCs/>
        </w:rPr>
        <w:t>, άρθρ. 735 αριθ. 11</w:t>
      </w:r>
      <w:bookmarkEnd w:id="3"/>
      <w:r w:rsidR="001402C3">
        <w:rPr>
          <w:sz w:val="24"/>
          <w:szCs w:val="24"/>
        </w:rPr>
        <w:t>).</w:t>
      </w:r>
      <w:r>
        <w:rPr>
          <w:sz w:val="24"/>
          <w:szCs w:val="24"/>
        </w:rPr>
        <w:t xml:space="preserve"> Η παράδοση ή απόδοση του τέκνου δεν προϋποθέτει πλέον</w:t>
      </w:r>
      <w:r w:rsidR="0096204D">
        <w:rPr>
          <w:sz w:val="24"/>
          <w:szCs w:val="24"/>
        </w:rPr>
        <w:t>,</w:t>
      </w:r>
      <w:r>
        <w:rPr>
          <w:sz w:val="24"/>
          <w:szCs w:val="24"/>
        </w:rPr>
        <w:t xml:space="preserve"> μετά την αντικατάσταση του άρθρ. 613 </w:t>
      </w:r>
      <w:proofErr w:type="spellStart"/>
      <w:r>
        <w:rPr>
          <w:sz w:val="24"/>
          <w:szCs w:val="24"/>
        </w:rPr>
        <w:t>ΚΠολΔ</w:t>
      </w:r>
      <w:proofErr w:type="spellEnd"/>
      <w:r>
        <w:rPr>
          <w:sz w:val="24"/>
          <w:szCs w:val="24"/>
        </w:rPr>
        <w:t xml:space="preserve"> με το άρθρ</w:t>
      </w:r>
      <w:r w:rsidR="00344604">
        <w:rPr>
          <w:sz w:val="24"/>
          <w:szCs w:val="24"/>
        </w:rPr>
        <w:t>ο</w:t>
      </w:r>
      <w:r>
        <w:rPr>
          <w:sz w:val="24"/>
          <w:szCs w:val="24"/>
        </w:rPr>
        <w:t xml:space="preserve"> 1 άρθρ</w:t>
      </w:r>
      <w:r w:rsidR="0096204D">
        <w:rPr>
          <w:sz w:val="24"/>
          <w:szCs w:val="24"/>
        </w:rPr>
        <w:t>ου</w:t>
      </w:r>
      <w:r>
        <w:rPr>
          <w:sz w:val="24"/>
          <w:szCs w:val="24"/>
        </w:rPr>
        <w:t xml:space="preserve"> τέταρτου </w:t>
      </w:r>
      <w:r w:rsidR="0096204D">
        <w:rPr>
          <w:sz w:val="24"/>
          <w:szCs w:val="24"/>
        </w:rPr>
        <w:t xml:space="preserve">του </w:t>
      </w:r>
      <w:r>
        <w:rPr>
          <w:sz w:val="24"/>
          <w:szCs w:val="24"/>
        </w:rPr>
        <w:t>ν. 4335/2015</w:t>
      </w:r>
      <w:r w:rsidR="0096204D">
        <w:rPr>
          <w:sz w:val="24"/>
          <w:szCs w:val="24"/>
        </w:rPr>
        <w:t>,</w:t>
      </w:r>
      <w:r>
        <w:rPr>
          <w:sz w:val="24"/>
          <w:szCs w:val="24"/>
        </w:rPr>
        <w:t xml:space="preserve"> σχετικό αίτημα, αλλά διατάσσεται</w:t>
      </w:r>
      <w:r w:rsidR="00284EBE">
        <w:rPr>
          <w:sz w:val="24"/>
          <w:szCs w:val="24"/>
        </w:rPr>
        <w:t xml:space="preserve"> αυτεπαγγέλτως με την απόφαση που ρυθμίζει την επιμέλειά του</w:t>
      </w:r>
      <w:r w:rsidR="0096204D">
        <w:rPr>
          <w:sz w:val="24"/>
          <w:szCs w:val="24"/>
        </w:rPr>
        <w:t>.</w:t>
      </w:r>
      <w:r>
        <w:rPr>
          <w:sz w:val="24"/>
          <w:szCs w:val="24"/>
        </w:rPr>
        <w:t xml:space="preserve">   </w:t>
      </w:r>
      <w:r w:rsidR="001402C3">
        <w:rPr>
          <w:sz w:val="24"/>
          <w:szCs w:val="24"/>
        </w:rPr>
        <w:t xml:space="preserve">  </w:t>
      </w:r>
      <w:r w:rsidR="00D04204">
        <w:rPr>
          <w:sz w:val="24"/>
          <w:szCs w:val="24"/>
        </w:rPr>
        <w:t xml:space="preserve"> </w:t>
      </w:r>
      <w:r w:rsidR="005949C8">
        <w:rPr>
          <w:sz w:val="24"/>
          <w:szCs w:val="24"/>
        </w:rPr>
        <w:t xml:space="preserve"> </w:t>
      </w:r>
      <w:r w:rsidR="0046344D">
        <w:rPr>
          <w:sz w:val="24"/>
          <w:szCs w:val="24"/>
        </w:rPr>
        <w:t xml:space="preserve"> </w:t>
      </w:r>
    </w:p>
    <w:p w:rsidR="00EC1998" w:rsidRDefault="00EC1998" w:rsidP="00DF5AE8">
      <w:pPr>
        <w:jc w:val="both"/>
        <w:rPr>
          <w:sz w:val="24"/>
          <w:szCs w:val="24"/>
        </w:rPr>
      </w:pPr>
      <w:r>
        <w:rPr>
          <w:sz w:val="24"/>
          <w:szCs w:val="24"/>
        </w:rPr>
        <w:t xml:space="preserve">       </w:t>
      </w:r>
      <w:r w:rsidR="003E097F">
        <w:rPr>
          <w:sz w:val="24"/>
          <w:szCs w:val="24"/>
        </w:rPr>
        <w:t>4</w:t>
      </w:r>
      <w:r>
        <w:rPr>
          <w:sz w:val="24"/>
          <w:szCs w:val="24"/>
        </w:rPr>
        <w:t>.</w:t>
      </w:r>
      <w:r w:rsidR="004D0255">
        <w:rPr>
          <w:sz w:val="24"/>
          <w:szCs w:val="24"/>
        </w:rPr>
        <w:t xml:space="preserve"> Ήδη η παραπάνω ρύθμιση αποτελεί την παρ. 1 του άρθρ. 1536 ΑΚ, αφού σ’ αυτό προστέθηκε με το άρθρ. 109 του ν. 5264/2025 παρ. 2, σύμφωνα με την οποία </w:t>
      </w:r>
      <w:r w:rsidR="00825D16">
        <w:rPr>
          <w:sz w:val="24"/>
          <w:szCs w:val="24"/>
        </w:rPr>
        <w:t>«</w:t>
      </w:r>
      <w:r w:rsidR="004D0255" w:rsidRPr="00825D16">
        <w:rPr>
          <w:i/>
          <w:iCs/>
          <w:sz w:val="24"/>
          <w:szCs w:val="24"/>
        </w:rPr>
        <w:t>μεταρρύθμιση δύναται να αποφασίζεται από το δικαστήριο που εξέδωσε την απόφαση, έπειτα από αίτηση του ασκούντος το ένδικο μέσο ή του εισαγγελέα, και κατά οριστικής αποφάσεως που ρυθμίζει ζητήματα επιμέλειας και επικοινωνίας τέκνου κατά της οποίας έχει ασκηθεί έφεση. Η ισχύς της ως άνω απόφασης ισχύει μέχρι την έκδοση απόφασης επί του ενδίκου μέσου και εκδίδεται αποκλειστικά σε περιπτώσεις που το επιβάλλει το συμφ</w:t>
      </w:r>
      <w:r w:rsidR="00825D16" w:rsidRPr="00825D16">
        <w:rPr>
          <w:i/>
          <w:iCs/>
          <w:sz w:val="24"/>
          <w:szCs w:val="24"/>
        </w:rPr>
        <w:t>έρον του τέκνου</w:t>
      </w:r>
      <w:r w:rsidR="00825D16">
        <w:rPr>
          <w:sz w:val="24"/>
          <w:szCs w:val="24"/>
        </w:rPr>
        <w:t>».</w:t>
      </w:r>
      <w:r w:rsidR="004D0255">
        <w:rPr>
          <w:sz w:val="24"/>
          <w:szCs w:val="24"/>
        </w:rPr>
        <w:t xml:space="preserve"> </w:t>
      </w:r>
    </w:p>
    <w:p w:rsidR="002A5540" w:rsidRDefault="00825D16" w:rsidP="00DF5AE8">
      <w:pPr>
        <w:jc w:val="both"/>
        <w:rPr>
          <w:sz w:val="24"/>
          <w:szCs w:val="24"/>
        </w:rPr>
      </w:pPr>
      <w:r>
        <w:rPr>
          <w:sz w:val="24"/>
          <w:szCs w:val="24"/>
        </w:rPr>
        <w:t xml:space="preserve">       5. Αρχικά πρέπει να παρατηρηθεί ότι η διατύπωση της διάταξης είναι κακότεχνη σε αρκετά σημεία και </w:t>
      </w:r>
      <w:r w:rsidR="002A5540">
        <w:rPr>
          <w:sz w:val="24"/>
          <w:szCs w:val="24"/>
        </w:rPr>
        <w:t xml:space="preserve">ειδικότερα ορίζεται σ’ αυτή ότι </w:t>
      </w:r>
      <w:r w:rsidR="001A258D">
        <w:rPr>
          <w:sz w:val="24"/>
          <w:szCs w:val="24"/>
        </w:rPr>
        <w:t>«</w:t>
      </w:r>
      <w:r w:rsidR="002A5540" w:rsidRPr="001A258D">
        <w:rPr>
          <w:i/>
          <w:iCs/>
          <w:sz w:val="24"/>
          <w:szCs w:val="24"/>
        </w:rPr>
        <w:t xml:space="preserve">μεταρρύθμιση δύναται να αποφασίζεται από το δικαστήριο που εξέδωσε την </w:t>
      </w:r>
      <w:r w:rsidR="002A5540" w:rsidRPr="00D5210E">
        <w:rPr>
          <w:i/>
          <w:iCs/>
          <w:sz w:val="24"/>
          <w:szCs w:val="24"/>
        </w:rPr>
        <w:t>απόφαση,</w:t>
      </w:r>
      <w:r w:rsidR="002A5540" w:rsidRPr="001A258D">
        <w:rPr>
          <w:i/>
          <w:iCs/>
          <w:sz w:val="24"/>
          <w:szCs w:val="24"/>
        </w:rPr>
        <w:t>…και κατά οριστικής αποφάσεως</w:t>
      </w:r>
      <w:r w:rsidR="001A258D">
        <w:rPr>
          <w:sz w:val="24"/>
          <w:szCs w:val="24"/>
        </w:rPr>
        <w:t>». Πρόκειται για πλεονασ</w:t>
      </w:r>
      <w:r w:rsidR="00D5210E">
        <w:rPr>
          <w:sz w:val="24"/>
          <w:szCs w:val="24"/>
        </w:rPr>
        <w:t xml:space="preserve">τική αναφορά </w:t>
      </w:r>
      <w:r w:rsidR="00CC4131">
        <w:rPr>
          <w:sz w:val="24"/>
          <w:szCs w:val="24"/>
        </w:rPr>
        <w:t>της</w:t>
      </w:r>
      <w:r w:rsidR="00D5210E">
        <w:rPr>
          <w:sz w:val="24"/>
          <w:szCs w:val="24"/>
        </w:rPr>
        <w:t xml:space="preserve"> λέξη</w:t>
      </w:r>
      <w:r w:rsidR="00CC4131">
        <w:rPr>
          <w:sz w:val="24"/>
          <w:szCs w:val="24"/>
        </w:rPr>
        <w:t>ς</w:t>
      </w:r>
      <w:r w:rsidR="00D5210E">
        <w:rPr>
          <w:sz w:val="24"/>
          <w:szCs w:val="24"/>
        </w:rPr>
        <w:t xml:space="preserve"> απόφαση</w:t>
      </w:r>
      <w:r w:rsidR="00CC4131">
        <w:rPr>
          <w:sz w:val="24"/>
          <w:szCs w:val="24"/>
        </w:rPr>
        <w:t>, ενώ αδόκιμη είναι η έκφραση «</w:t>
      </w:r>
      <w:r w:rsidR="00CC4131" w:rsidRPr="00CC4131">
        <w:rPr>
          <w:i/>
          <w:iCs/>
          <w:sz w:val="24"/>
          <w:szCs w:val="24"/>
        </w:rPr>
        <w:t>η ισχύς της απόφασης ισχύ</w:t>
      </w:r>
      <w:r w:rsidR="00CC4131">
        <w:rPr>
          <w:i/>
          <w:iCs/>
          <w:sz w:val="24"/>
          <w:szCs w:val="24"/>
        </w:rPr>
        <w:t>ει…</w:t>
      </w:r>
      <w:r w:rsidR="00CC4131">
        <w:rPr>
          <w:sz w:val="24"/>
          <w:szCs w:val="24"/>
        </w:rPr>
        <w:t xml:space="preserve">». </w:t>
      </w:r>
      <w:r w:rsidR="00D5210E">
        <w:rPr>
          <w:sz w:val="24"/>
          <w:szCs w:val="24"/>
        </w:rPr>
        <w:t xml:space="preserve"> </w:t>
      </w:r>
      <w:r w:rsidR="00CC4131">
        <w:rPr>
          <w:sz w:val="24"/>
          <w:szCs w:val="24"/>
        </w:rPr>
        <w:t xml:space="preserve">Απλούστερη θα ήταν έτσι </w:t>
      </w:r>
      <w:r w:rsidR="00D5210E">
        <w:rPr>
          <w:sz w:val="24"/>
          <w:szCs w:val="24"/>
        </w:rPr>
        <w:t>η διατύπωση «</w:t>
      </w:r>
      <w:r w:rsidR="00D5210E" w:rsidRPr="00CC4131">
        <w:rPr>
          <w:i/>
          <w:iCs/>
          <w:sz w:val="24"/>
          <w:szCs w:val="24"/>
        </w:rPr>
        <w:t xml:space="preserve">μεταρρύθμιση δύναται να αποφασίζεται </w:t>
      </w:r>
      <w:r w:rsidR="005C3894" w:rsidRPr="00CC4131">
        <w:rPr>
          <w:i/>
          <w:iCs/>
          <w:sz w:val="24"/>
          <w:szCs w:val="24"/>
        </w:rPr>
        <w:t>και για οριστική απόφαση που ρυθμίζει ζητήματα επιμέλειας και επικοινωνίας τέκνου κατά της οποίας έχει ασκηθεί έφεση, στις περιπτώσεις αποκλειστικά που το επιβάλλει το συμφέρον του τέκνου</w:t>
      </w:r>
      <w:r w:rsidR="00016958">
        <w:rPr>
          <w:i/>
          <w:iCs/>
          <w:sz w:val="24"/>
          <w:szCs w:val="24"/>
        </w:rPr>
        <w:t>.</w:t>
      </w:r>
      <w:r w:rsidR="005C3894" w:rsidRPr="00CC4131">
        <w:rPr>
          <w:i/>
          <w:iCs/>
          <w:sz w:val="24"/>
          <w:szCs w:val="24"/>
        </w:rPr>
        <w:t xml:space="preserve"> Η μεταρρύθμιση αποφασίζεται από το δικαστήριο που εξέδωσε την απόφαση ύστερα από αίτηση του </w:t>
      </w:r>
      <w:proofErr w:type="spellStart"/>
      <w:r w:rsidR="005C3894" w:rsidRPr="00CC4131">
        <w:rPr>
          <w:i/>
          <w:iCs/>
          <w:sz w:val="24"/>
          <w:szCs w:val="24"/>
        </w:rPr>
        <w:t>ασκήσαντος</w:t>
      </w:r>
      <w:proofErr w:type="spellEnd"/>
      <w:r w:rsidR="005C3894" w:rsidRPr="00CC4131">
        <w:rPr>
          <w:i/>
          <w:iCs/>
          <w:sz w:val="24"/>
          <w:szCs w:val="24"/>
        </w:rPr>
        <w:t xml:space="preserve"> </w:t>
      </w:r>
      <w:r w:rsidR="00CC4131">
        <w:rPr>
          <w:i/>
          <w:iCs/>
          <w:sz w:val="24"/>
          <w:szCs w:val="24"/>
        </w:rPr>
        <w:t>(</w:t>
      </w:r>
      <w:r w:rsidR="00CC4131" w:rsidRPr="00CC4131">
        <w:rPr>
          <w:i/>
          <w:iCs/>
          <w:sz w:val="20"/>
          <w:szCs w:val="20"/>
        </w:rPr>
        <w:t>όχι του ασκούντος</w:t>
      </w:r>
      <w:r w:rsidR="00CC4131">
        <w:rPr>
          <w:i/>
          <w:iCs/>
          <w:sz w:val="24"/>
          <w:szCs w:val="24"/>
        </w:rPr>
        <w:t xml:space="preserve">) </w:t>
      </w:r>
      <w:r w:rsidR="005C3894" w:rsidRPr="00CC4131">
        <w:rPr>
          <w:i/>
          <w:iCs/>
          <w:sz w:val="24"/>
          <w:szCs w:val="24"/>
        </w:rPr>
        <w:t>το ένδικο μέσο ή του εισαγγελέα και η ισχύς της απόφασης διατηρείται (</w:t>
      </w:r>
      <w:r w:rsidR="005C3894" w:rsidRPr="00CC4131">
        <w:rPr>
          <w:i/>
          <w:iCs/>
          <w:sz w:val="20"/>
          <w:szCs w:val="20"/>
        </w:rPr>
        <w:t>ή η απόφαση ισχύει</w:t>
      </w:r>
      <w:r w:rsidR="005C3894" w:rsidRPr="00CC4131">
        <w:rPr>
          <w:i/>
          <w:iCs/>
          <w:sz w:val="24"/>
          <w:szCs w:val="24"/>
        </w:rPr>
        <w:t>) μέχρι την έκδοση απόφασης επί του ένδικου μέσου</w:t>
      </w:r>
      <w:r w:rsidR="00CC4131">
        <w:rPr>
          <w:sz w:val="24"/>
          <w:szCs w:val="24"/>
        </w:rPr>
        <w:t>».</w:t>
      </w:r>
    </w:p>
    <w:p w:rsidR="005E2D24" w:rsidRDefault="00016958" w:rsidP="00DF5AE8">
      <w:pPr>
        <w:jc w:val="both"/>
        <w:rPr>
          <w:sz w:val="24"/>
          <w:szCs w:val="24"/>
        </w:rPr>
      </w:pPr>
      <w:r>
        <w:rPr>
          <w:sz w:val="24"/>
          <w:szCs w:val="24"/>
        </w:rPr>
        <w:t xml:space="preserve">       6. Προϋπόθεση για τη μεταρρύθμιση (</w:t>
      </w:r>
      <w:r w:rsidRPr="00016958">
        <w:rPr>
          <w:i/>
          <w:iCs/>
          <w:sz w:val="24"/>
          <w:szCs w:val="24"/>
        </w:rPr>
        <w:t>προφανώς και για την όλη ανάκληση</w:t>
      </w:r>
      <w:r>
        <w:rPr>
          <w:sz w:val="24"/>
          <w:szCs w:val="24"/>
        </w:rPr>
        <w:t xml:space="preserve">) της αρχικής απόφασης είναι κατά τη νέα ρύθμιση η άσκηση έφεσης κατ’ αυτής. Συνεπώς η ρύθμιση δεν καλύπτει την περίπτωση που παραλειφθεί η άσκηση έφεσης και η απόφαση καταστεί έτσι ανέκκλητη </w:t>
      </w:r>
      <w:r w:rsidR="001A6532">
        <w:rPr>
          <w:sz w:val="24"/>
          <w:szCs w:val="24"/>
        </w:rPr>
        <w:t>(</w:t>
      </w:r>
      <w:proofErr w:type="spellStart"/>
      <w:r w:rsidR="001A6532">
        <w:rPr>
          <w:sz w:val="24"/>
          <w:szCs w:val="24"/>
        </w:rPr>
        <w:t>ΚΠολΔ</w:t>
      </w:r>
      <w:proofErr w:type="spellEnd"/>
      <w:r w:rsidR="001A6532">
        <w:rPr>
          <w:sz w:val="24"/>
          <w:szCs w:val="24"/>
        </w:rPr>
        <w:t xml:space="preserve"> 518)</w:t>
      </w:r>
      <w:r w:rsidR="00575694">
        <w:rPr>
          <w:sz w:val="24"/>
          <w:szCs w:val="24"/>
        </w:rPr>
        <w:t xml:space="preserve">, </w:t>
      </w:r>
      <w:r w:rsidR="006E40A1">
        <w:rPr>
          <w:sz w:val="24"/>
          <w:szCs w:val="24"/>
        </w:rPr>
        <w:t xml:space="preserve">ούτε αρκεί σε περίπτωση ερήμην οριστικής απόφασης η άσκηση κατ’ αυτής ανακοπής ερημοδικίας. </w:t>
      </w:r>
      <w:r w:rsidR="005E2D24">
        <w:rPr>
          <w:sz w:val="24"/>
          <w:szCs w:val="24"/>
        </w:rPr>
        <w:t>Η άσκηση κατά της εφετειακής απόφασης αίτησης αναίρεσης δεν διατηρεί σε ισχύ την μεταρρυθμιστική απόφαση, αφού διαφορετική άποψη θα ήταν αντίθετη προς το σαφές γράμμα της ρύθμισης, ενώ διαφορετικό είναι το ζήτημα της άσκησης αίτησης αναίρεσης κατά πρωτόδικης απόφασης, αν δεν ασκηθεί κατ’ αυτής έφεση. Με διασταλτική ερμηνεία της νέας διάταξης</w:t>
      </w:r>
      <w:r w:rsidR="007A645B">
        <w:rPr>
          <w:sz w:val="24"/>
          <w:szCs w:val="24"/>
        </w:rPr>
        <w:t>,</w:t>
      </w:r>
      <w:r w:rsidR="005E2D24">
        <w:rPr>
          <w:sz w:val="24"/>
          <w:szCs w:val="24"/>
        </w:rPr>
        <w:t xml:space="preserve"> που δικαιολογείται από την ταυτότητα του νομικού λόγου</w:t>
      </w:r>
      <w:r w:rsidR="007A645B">
        <w:rPr>
          <w:sz w:val="24"/>
          <w:szCs w:val="24"/>
        </w:rPr>
        <w:t>,</w:t>
      </w:r>
      <w:r w:rsidR="005E2D24">
        <w:rPr>
          <w:sz w:val="24"/>
          <w:szCs w:val="24"/>
        </w:rPr>
        <w:t xml:space="preserve"> μπορεί να υποστηριχθεί ότι </w:t>
      </w:r>
      <w:r w:rsidR="00C31F37">
        <w:rPr>
          <w:sz w:val="24"/>
          <w:szCs w:val="24"/>
        </w:rPr>
        <w:t>είναι επιτρεπτή η έκδοση μεταρρυθμιστικής απόφασης με ισχύ μέχρι την έκδοση απόφασης επί της αίτησης αναίρεσης.</w:t>
      </w:r>
    </w:p>
    <w:p w:rsidR="00BC7F89" w:rsidRDefault="00C31F37" w:rsidP="00DF5AE8">
      <w:pPr>
        <w:jc w:val="both"/>
        <w:rPr>
          <w:sz w:val="24"/>
          <w:szCs w:val="24"/>
        </w:rPr>
      </w:pPr>
      <w:r>
        <w:rPr>
          <w:sz w:val="24"/>
          <w:szCs w:val="24"/>
        </w:rPr>
        <w:lastRenderedPageBreak/>
        <w:t xml:space="preserve">       7. Η </w:t>
      </w:r>
      <w:r w:rsidR="00E50236">
        <w:rPr>
          <w:sz w:val="24"/>
          <w:szCs w:val="24"/>
        </w:rPr>
        <w:t>εξαφάνιση της εφετειακής απόφασης κατά παραδοχή αίτησης αναίρεσης αναβιώνει την εκκρεμοδικία της έφεσης στην έκταση που αναιρείται η απόφαση και στην ίδια έκταση συζητείται εκ νέου η υπόθεση στο δευτεροβάθμιο δικαστήριο</w:t>
      </w:r>
      <w:r w:rsidR="00C4294F">
        <w:rPr>
          <w:sz w:val="24"/>
          <w:szCs w:val="24"/>
        </w:rPr>
        <w:t xml:space="preserve"> (</w:t>
      </w:r>
      <w:proofErr w:type="spellStart"/>
      <w:r w:rsidR="00C4294F">
        <w:rPr>
          <w:sz w:val="24"/>
          <w:szCs w:val="24"/>
        </w:rPr>
        <w:t>ΚΠολΔ</w:t>
      </w:r>
      <w:proofErr w:type="spellEnd"/>
      <w:r w:rsidR="00C4294F">
        <w:rPr>
          <w:sz w:val="24"/>
          <w:szCs w:val="24"/>
        </w:rPr>
        <w:t xml:space="preserve"> 579§1, 581§2· </w:t>
      </w:r>
      <w:r w:rsidR="00C4294F" w:rsidRPr="00447CC3">
        <w:rPr>
          <w:i/>
          <w:iCs/>
        </w:rPr>
        <w:t xml:space="preserve">ΑΠ </w:t>
      </w:r>
      <w:r w:rsidR="005C55E4" w:rsidRPr="00447CC3">
        <w:rPr>
          <w:i/>
          <w:iCs/>
        </w:rPr>
        <w:t xml:space="preserve">1717/2002, </w:t>
      </w:r>
      <w:proofErr w:type="spellStart"/>
      <w:r w:rsidR="005C55E4" w:rsidRPr="00447CC3">
        <w:rPr>
          <w:i/>
          <w:iCs/>
        </w:rPr>
        <w:t>ΝοΒ</w:t>
      </w:r>
      <w:proofErr w:type="spellEnd"/>
      <w:r w:rsidR="005C55E4" w:rsidRPr="00447CC3">
        <w:rPr>
          <w:i/>
          <w:iCs/>
        </w:rPr>
        <w:t xml:space="preserve"> 2003</w:t>
      </w:r>
      <w:r w:rsidR="004C16B4" w:rsidRPr="00447CC3">
        <w:rPr>
          <w:i/>
          <w:iCs/>
        </w:rPr>
        <w:t>.1223· 251/2016· 1150/2017· 758/2018</w:t>
      </w:r>
      <w:r w:rsidR="00447CC3" w:rsidRPr="00447CC3">
        <w:rPr>
          <w:i/>
          <w:iCs/>
        </w:rPr>
        <w:t>, Τ</w:t>
      </w:r>
      <w:r w:rsidR="00CD2D94">
        <w:rPr>
          <w:i/>
          <w:iCs/>
        </w:rPr>
        <w:t>ΝΠ</w:t>
      </w:r>
      <w:r w:rsidR="00447CC3" w:rsidRPr="00447CC3">
        <w:rPr>
          <w:i/>
          <w:iCs/>
        </w:rPr>
        <w:t xml:space="preserve"> ΝΟΜΟΣ</w:t>
      </w:r>
      <w:r w:rsidR="00C4294F" w:rsidRPr="00447CC3">
        <w:rPr>
          <w:sz w:val="24"/>
          <w:szCs w:val="24"/>
        </w:rPr>
        <w:t>)</w:t>
      </w:r>
      <w:r w:rsidR="00E50236" w:rsidRPr="00447CC3">
        <w:rPr>
          <w:sz w:val="24"/>
          <w:szCs w:val="24"/>
        </w:rPr>
        <w:t xml:space="preserve">. </w:t>
      </w:r>
      <w:r w:rsidR="004C16B4" w:rsidRPr="00447CC3">
        <w:rPr>
          <w:sz w:val="24"/>
          <w:szCs w:val="24"/>
        </w:rPr>
        <w:t>Η αναβίωση της εκκρεμοδικίας της έφεσης δεν οδηγεί</w:t>
      </w:r>
      <w:r w:rsidR="00C62CC2" w:rsidRPr="00447CC3">
        <w:rPr>
          <w:sz w:val="24"/>
          <w:szCs w:val="24"/>
        </w:rPr>
        <w:t>,</w:t>
      </w:r>
      <w:r w:rsidR="004C16B4" w:rsidRPr="00447CC3">
        <w:rPr>
          <w:sz w:val="24"/>
          <w:szCs w:val="24"/>
        </w:rPr>
        <w:t xml:space="preserve"> </w:t>
      </w:r>
      <w:r w:rsidR="00C62CC2" w:rsidRPr="00447CC3">
        <w:rPr>
          <w:sz w:val="24"/>
          <w:szCs w:val="24"/>
        </w:rPr>
        <w:t xml:space="preserve">ωστόσο, </w:t>
      </w:r>
      <w:r w:rsidR="004C16B4" w:rsidRPr="00447CC3">
        <w:rPr>
          <w:sz w:val="24"/>
          <w:szCs w:val="24"/>
        </w:rPr>
        <w:t>σε αναβίωση</w:t>
      </w:r>
      <w:r w:rsidR="00C62CC2" w:rsidRPr="00447CC3">
        <w:rPr>
          <w:sz w:val="24"/>
          <w:szCs w:val="24"/>
        </w:rPr>
        <w:t xml:space="preserve"> και της μεταρρυθμιστικής απόφασης, αλλά σε ισχύ επανέρχεται </w:t>
      </w:r>
      <w:r w:rsidR="009E21F9" w:rsidRPr="00447CC3">
        <w:rPr>
          <w:sz w:val="24"/>
          <w:szCs w:val="24"/>
        </w:rPr>
        <w:t xml:space="preserve">μόνον </w:t>
      </w:r>
      <w:r w:rsidR="00C62CC2" w:rsidRPr="00447CC3">
        <w:rPr>
          <w:sz w:val="24"/>
          <w:szCs w:val="24"/>
        </w:rPr>
        <w:t>η πρωτόδικη οριστική απόφαση</w:t>
      </w:r>
      <w:r w:rsidR="00BC7F89" w:rsidRPr="00447CC3">
        <w:rPr>
          <w:sz w:val="24"/>
          <w:szCs w:val="24"/>
        </w:rPr>
        <w:t xml:space="preserve"> (</w:t>
      </w:r>
      <w:r w:rsidR="00BC7F89" w:rsidRPr="00447CC3">
        <w:rPr>
          <w:i/>
          <w:iCs/>
        </w:rPr>
        <w:t xml:space="preserve">ΑΠ 1251/2002, </w:t>
      </w:r>
      <w:proofErr w:type="spellStart"/>
      <w:r w:rsidR="00BC7F89" w:rsidRPr="00447CC3">
        <w:rPr>
          <w:i/>
          <w:iCs/>
        </w:rPr>
        <w:t>ΕλλΔνη</w:t>
      </w:r>
      <w:proofErr w:type="spellEnd"/>
      <w:r w:rsidR="00BC7F89" w:rsidRPr="00447CC3">
        <w:rPr>
          <w:i/>
          <w:iCs/>
        </w:rPr>
        <w:t xml:space="preserve"> 2003.125</w:t>
      </w:r>
      <w:r w:rsidR="00BC7F89" w:rsidRPr="00447CC3">
        <w:rPr>
          <w:sz w:val="24"/>
          <w:szCs w:val="24"/>
        </w:rPr>
        <w:t>)</w:t>
      </w:r>
      <w:r w:rsidR="00C62CC2" w:rsidRPr="00447CC3">
        <w:rPr>
          <w:sz w:val="24"/>
          <w:szCs w:val="24"/>
        </w:rPr>
        <w:t xml:space="preserve">. </w:t>
      </w:r>
      <w:r w:rsidR="00BC7F89" w:rsidRPr="00447CC3">
        <w:rPr>
          <w:sz w:val="24"/>
          <w:szCs w:val="24"/>
        </w:rPr>
        <w:t xml:space="preserve">Συντρέχουν </w:t>
      </w:r>
      <w:r w:rsidR="009E21F9" w:rsidRPr="00447CC3">
        <w:rPr>
          <w:sz w:val="24"/>
          <w:szCs w:val="24"/>
        </w:rPr>
        <w:t xml:space="preserve">όμως </w:t>
      </w:r>
      <w:r w:rsidR="00BC7F89" w:rsidRPr="00447CC3">
        <w:rPr>
          <w:sz w:val="24"/>
          <w:szCs w:val="24"/>
        </w:rPr>
        <w:t>οι προϋποθέσεις για έκδοση νέας μεταρρυθμιστικής απόφασης.</w:t>
      </w:r>
      <w:r w:rsidR="00BC7F89">
        <w:rPr>
          <w:sz w:val="24"/>
          <w:szCs w:val="24"/>
        </w:rPr>
        <w:t xml:space="preserve"> </w:t>
      </w:r>
    </w:p>
    <w:p w:rsidR="00166A1E" w:rsidRDefault="00BC7F89" w:rsidP="00DF5AE8">
      <w:pPr>
        <w:jc w:val="both"/>
        <w:rPr>
          <w:sz w:val="24"/>
          <w:szCs w:val="24"/>
        </w:rPr>
      </w:pPr>
      <w:r>
        <w:rPr>
          <w:sz w:val="24"/>
          <w:szCs w:val="24"/>
        </w:rPr>
        <w:t xml:space="preserve">       8.</w:t>
      </w:r>
      <w:r w:rsidR="00166A1E">
        <w:rPr>
          <w:sz w:val="24"/>
          <w:szCs w:val="24"/>
        </w:rPr>
        <w:t xml:space="preserve"> Τη</w:t>
      </w:r>
      <w:r w:rsidR="009E21F9">
        <w:rPr>
          <w:sz w:val="24"/>
          <w:szCs w:val="24"/>
        </w:rPr>
        <w:t>ν</w:t>
      </w:r>
      <w:r w:rsidR="00166A1E">
        <w:rPr>
          <w:sz w:val="24"/>
          <w:szCs w:val="24"/>
        </w:rPr>
        <w:t xml:space="preserve"> μεταρρύθμιση της αρχικής για την επιμέλεια και την επικοινωνία οριστικής απόφασης μπορεί να ζητήσει τόσο ο ενάγων όσο και ο εναγόμενος, αρκεί να άσκησαν κατ’ αυτής έφεση. Η εκτέλεση της οριστικής απόφασης που κηρύχθηκε προσωρινά εκτελεστή ως προς τις </w:t>
      </w:r>
      <w:proofErr w:type="spellStart"/>
      <w:r w:rsidR="00166A1E">
        <w:rPr>
          <w:sz w:val="24"/>
          <w:szCs w:val="24"/>
        </w:rPr>
        <w:t>καταψηφισ</w:t>
      </w:r>
      <w:r w:rsidR="0025767C">
        <w:rPr>
          <w:sz w:val="24"/>
          <w:szCs w:val="24"/>
        </w:rPr>
        <w:t>τ</w:t>
      </w:r>
      <w:r w:rsidR="00166A1E">
        <w:rPr>
          <w:sz w:val="24"/>
          <w:szCs w:val="24"/>
        </w:rPr>
        <w:t>ικές</w:t>
      </w:r>
      <w:proofErr w:type="spellEnd"/>
      <w:r w:rsidR="00166A1E">
        <w:rPr>
          <w:sz w:val="24"/>
          <w:szCs w:val="24"/>
        </w:rPr>
        <w:t xml:space="preserve"> διατάξεις </w:t>
      </w:r>
      <w:r w:rsidR="00801515">
        <w:rPr>
          <w:sz w:val="24"/>
          <w:szCs w:val="24"/>
        </w:rPr>
        <w:t>της (</w:t>
      </w:r>
      <w:r w:rsidR="00801515" w:rsidRPr="00801515">
        <w:rPr>
          <w:i/>
          <w:iCs/>
        </w:rPr>
        <w:t>βλ. και</w:t>
      </w:r>
      <w:r w:rsidR="00801515">
        <w:rPr>
          <w:sz w:val="24"/>
          <w:szCs w:val="24"/>
        </w:rPr>
        <w:t xml:space="preserve"> </w:t>
      </w:r>
      <w:proofErr w:type="spellStart"/>
      <w:r w:rsidR="00801515" w:rsidRPr="00801515">
        <w:rPr>
          <w:i/>
          <w:iCs/>
        </w:rPr>
        <w:t>ΜονΠρΑλεξ</w:t>
      </w:r>
      <w:proofErr w:type="spellEnd"/>
      <w:r w:rsidR="00801515" w:rsidRPr="00801515">
        <w:rPr>
          <w:i/>
          <w:iCs/>
        </w:rPr>
        <w:t xml:space="preserve"> 652/2016, </w:t>
      </w:r>
      <w:proofErr w:type="spellStart"/>
      <w:r w:rsidR="00801515" w:rsidRPr="00801515">
        <w:rPr>
          <w:i/>
          <w:iCs/>
        </w:rPr>
        <w:t>Αρμ</w:t>
      </w:r>
      <w:proofErr w:type="spellEnd"/>
      <w:r w:rsidR="00801515" w:rsidRPr="00801515">
        <w:rPr>
          <w:i/>
          <w:iCs/>
        </w:rPr>
        <w:t xml:space="preserve"> 2017.54</w:t>
      </w:r>
      <w:r w:rsidR="00801515">
        <w:rPr>
          <w:sz w:val="24"/>
          <w:szCs w:val="24"/>
        </w:rPr>
        <w:t>)</w:t>
      </w:r>
      <w:r w:rsidR="00166A1E">
        <w:rPr>
          <w:sz w:val="24"/>
          <w:szCs w:val="24"/>
        </w:rPr>
        <w:t xml:space="preserve">, δεν εμποδίζει </w:t>
      </w:r>
      <w:r w:rsidR="00E30EB1">
        <w:rPr>
          <w:sz w:val="24"/>
          <w:szCs w:val="24"/>
        </w:rPr>
        <w:t xml:space="preserve">ακολούθως </w:t>
      </w:r>
      <w:r w:rsidR="00166A1E">
        <w:rPr>
          <w:sz w:val="24"/>
          <w:szCs w:val="24"/>
        </w:rPr>
        <w:t xml:space="preserve">την μεταρρύθμισή </w:t>
      </w:r>
      <w:r w:rsidR="00801515">
        <w:rPr>
          <w:sz w:val="24"/>
          <w:szCs w:val="24"/>
        </w:rPr>
        <w:t>της</w:t>
      </w:r>
      <w:r w:rsidR="00E30EB1">
        <w:rPr>
          <w:sz w:val="24"/>
          <w:szCs w:val="24"/>
        </w:rPr>
        <w:t xml:space="preserve">, </w:t>
      </w:r>
      <w:r w:rsidR="00624964">
        <w:rPr>
          <w:sz w:val="24"/>
          <w:szCs w:val="24"/>
        </w:rPr>
        <w:t xml:space="preserve">ενώ </w:t>
      </w:r>
      <w:r w:rsidR="00166A1E">
        <w:rPr>
          <w:sz w:val="24"/>
          <w:szCs w:val="24"/>
        </w:rPr>
        <w:t xml:space="preserve">η απόρριψη της </w:t>
      </w:r>
      <w:r w:rsidR="00E77675">
        <w:rPr>
          <w:sz w:val="24"/>
          <w:szCs w:val="24"/>
        </w:rPr>
        <w:t>αίτησης μεταρρύθμισης δικαιολογεί νέα αίτηση, εφόσον στη συνέχεια μεταβλ</w:t>
      </w:r>
      <w:r w:rsidR="00E30EB1">
        <w:rPr>
          <w:sz w:val="24"/>
          <w:szCs w:val="24"/>
        </w:rPr>
        <w:t>ηθού</w:t>
      </w:r>
      <w:r w:rsidR="00801515">
        <w:rPr>
          <w:sz w:val="24"/>
          <w:szCs w:val="24"/>
        </w:rPr>
        <w:t>ν</w:t>
      </w:r>
      <w:r w:rsidR="00E77675">
        <w:rPr>
          <w:sz w:val="24"/>
          <w:szCs w:val="24"/>
        </w:rPr>
        <w:t xml:space="preserve"> οι σχετικές με το συμφέρον του </w:t>
      </w:r>
      <w:r w:rsidR="00E30EB1">
        <w:rPr>
          <w:sz w:val="24"/>
          <w:szCs w:val="24"/>
        </w:rPr>
        <w:t>πα</w:t>
      </w:r>
      <w:r w:rsidR="00E77675">
        <w:rPr>
          <w:sz w:val="24"/>
          <w:szCs w:val="24"/>
        </w:rPr>
        <w:t xml:space="preserve">ιδιού </w:t>
      </w:r>
      <w:r w:rsidR="00E30EB1">
        <w:rPr>
          <w:sz w:val="24"/>
          <w:szCs w:val="24"/>
        </w:rPr>
        <w:t xml:space="preserve">κρίσιμες </w:t>
      </w:r>
      <w:r w:rsidR="00E77675">
        <w:rPr>
          <w:sz w:val="24"/>
          <w:szCs w:val="24"/>
        </w:rPr>
        <w:t xml:space="preserve">συνθήκες. </w:t>
      </w:r>
      <w:r w:rsidR="00677E8F">
        <w:rPr>
          <w:sz w:val="24"/>
          <w:szCs w:val="24"/>
        </w:rPr>
        <w:t xml:space="preserve">Εμπόδιο </w:t>
      </w:r>
      <w:bookmarkStart w:id="4" w:name="_Hlk221117336"/>
      <w:r w:rsidR="00677E8F">
        <w:rPr>
          <w:sz w:val="24"/>
          <w:szCs w:val="24"/>
        </w:rPr>
        <w:t xml:space="preserve">για την έκδοση μεταρρυθμιστικής απόφασης δεν αποτελεί </w:t>
      </w:r>
      <w:r w:rsidR="00624964">
        <w:rPr>
          <w:sz w:val="24"/>
          <w:szCs w:val="24"/>
        </w:rPr>
        <w:t xml:space="preserve">ούτε </w:t>
      </w:r>
      <w:r w:rsidR="00677E8F">
        <w:rPr>
          <w:sz w:val="24"/>
          <w:szCs w:val="24"/>
        </w:rPr>
        <w:t xml:space="preserve">η αναστολή εκτέλεσης της οριστικής απόφασης κατά το άρθρ. 913 </w:t>
      </w:r>
      <w:proofErr w:type="spellStart"/>
      <w:r w:rsidR="00677E8F">
        <w:rPr>
          <w:sz w:val="24"/>
          <w:szCs w:val="24"/>
        </w:rPr>
        <w:t>ΚΠολΔ</w:t>
      </w:r>
      <w:proofErr w:type="spellEnd"/>
      <w:r w:rsidR="00677E8F">
        <w:rPr>
          <w:sz w:val="24"/>
          <w:szCs w:val="24"/>
        </w:rPr>
        <w:t xml:space="preserve">, όπως </w:t>
      </w:r>
      <w:r w:rsidR="00624964">
        <w:rPr>
          <w:sz w:val="24"/>
          <w:szCs w:val="24"/>
        </w:rPr>
        <w:t xml:space="preserve">ήδη </w:t>
      </w:r>
      <w:r w:rsidR="00677E8F">
        <w:rPr>
          <w:sz w:val="24"/>
          <w:szCs w:val="24"/>
        </w:rPr>
        <w:t>ισχύει</w:t>
      </w:r>
      <w:r w:rsidR="00166A1E">
        <w:rPr>
          <w:sz w:val="24"/>
          <w:szCs w:val="24"/>
        </w:rPr>
        <w:t xml:space="preserve"> </w:t>
      </w:r>
      <w:r w:rsidR="00677E8F">
        <w:rPr>
          <w:sz w:val="24"/>
          <w:szCs w:val="24"/>
        </w:rPr>
        <w:t xml:space="preserve">μετά το ν. 5221/2025, αφού το συμφέρον του παιδιού, που καλείται να εξυπηρετήσει </w:t>
      </w:r>
      <w:r w:rsidR="00774B1F">
        <w:rPr>
          <w:sz w:val="24"/>
          <w:szCs w:val="24"/>
        </w:rPr>
        <w:t>η νέα ρύθμιση,</w:t>
      </w:r>
      <w:r w:rsidR="00677E8F">
        <w:rPr>
          <w:sz w:val="24"/>
          <w:szCs w:val="24"/>
        </w:rPr>
        <w:t xml:space="preserve"> δικαιολογεί την παράκαμψη της αναστολής</w:t>
      </w:r>
      <w:bookmarkEnd w:id="4"/>
      <w:r w:rsidR="00774B1F">
        <w:rPr>
          <w:sz w:val="24"/>
          <w:szCs w:val="24"/>
        </w:rPr>
        <w:t>.</w:t>
      </w:r>
      <w:r>
        <w:rPr>
          <w:sz w:val="24"/>
          <w:szCs w:val="24"/>
        </w:rPr>
        <w:t xml:space="preserve"> </w:t>
      </w:r>
    </w:p>
    <w:p w:rsidR="00801515" w:rsidRDefault="00166A1E" w:rsidP="00DF5AE8">
      <w:pPr>
        <w:jc w:val="both"/>
        <w:rPr>
          <w:sz w:val="24"/>
          <w:szCs w:val="24"/>
        </w:rPr>
      </w:pPr>
      <w:r>
        <w:rPr>
          <w:sz w:val="24"/>
          <w:szCs w:val="24"/>
        </w:rPr>
        <w:t xml:space="preserve">       9. </w:t>
      </w:r>
      <w:r w:rsidR="00BC7F89">
        <w:rPr>
          <w:sz w:val="24"/>
          <w:szCs w:val="24"/>
        </w:rPr>
        <w:t xml:space="preserve">Με δεδομένο ότι η ισχύς της μεταρρυθμιστικής απόφασης ρητά ορίζεται ότι διαρκεί μέχρι την έκδοση απόφασης επί της έφεσης που πρέπει να έχει ασκηθεί κατά της </w:t>
      </w:r>
      <w:r w:rsidR="00C3338A">
        <w:rPr>
          <w:sz w:val="24"/>
          <w:szCs w:val="24"/>
        </w:rPr>
        <w:t>ρυθμιστικής της επιμέλειας και της επικοινωνίας οριστικής απόφασης, είναι προφανής ο προσωρινός χαρακτήρας της μεταρρυθμιστικής απόφασης. Κατ’ αυτήν την έννοια ρυθμίζει προσωρινά την κατάσταση, όπως ακριβώς και η απόφαση των ασφαλιστικών μέτρων κατά τα άρθρ. 73</w:t>
      </w:r>
      <w:r w:rsidR="00DB5817">
        <w:rPr>
          <w:sz w:val="24"/>
          <w:szCs w:val="24"/>
        </w:rPr>
        <w:t>1</w:t>
      </w:r>
      <w:r w:rsidR="00C3338A">
        <w:rPr>
          <w:sz w:val="24"/>
          <w:szCs w:val="24"/>
        </w:rPr>
        <w:t xml:space="preserve">-732 </w:t>
      </w:r>
      <w:proofErr w:type="spellStart"/>
      <w:r w:rsidR="00C3338A">
        <w:rPr>
          <w:sz w:val="24"/>
          <w:szCs w:val="24"/>
        </w:rPr>
        <w:t>ΚΠολΔ</w:t>
      </w:r>
      <w:proofErr w:type="spellEnd"/>
      <w:r w:rsidR="00380496">
        <w:rPr>
          <w:sz w:val="24"/>
          <w:szCs w:val="24"/>
        </w:rPr>
        <w:t>, αφού ασφαλιστικά μέτρα μπορούν κατά το άρθρ. 68</w:t>
      </w:r>
      <w:r w:rsidR="00A45FC0">
        <w:rPr>
          <w:sz w:val="24"/>
          <w:szCs w:val="24"/>
        </w:rPr>
        <w:t>2</w:t>
      </w:r>
      <w:r w:rsidR="00380496">
        <w:rPr>
          <w:sz w:val="24"/>
          <w:szCs w:val="24"/>
        </w:rPr>
        <w:t xml:space="preserve">§2 </w:t>
      </w:r>
      <w:proofErr w:type="spellStart"/>
      <w:r w:rsidR="00380496">
        <w:rPr>
          <w:sz w:val="24"/>
          <w:szCs w:val="24"/>
        </w:rPr>
        <w:t>ΚΠολΔ</w:t>
      </w:r>
      <w:proofErr w:type="spellEnd"/>
      <w:r w:rsidR="00380496">
        <w:rPr>
          <w:sz w:val="24"/>
          <w:szCs w:val="24"/>
        </w:rPr>
        <w:t xml:space="preserve"> να ληφθούν και κατά τη διάρκεια της δίκης που αφορά την κύρια υπόθεση</w:t>
      </w:r>
      <w:r w:rsidR="00A45FC0">
        <w:rPr>
          <w:sz w:val="24"/>
          <w:szCs w:val="24"/>
        </w:rPr>
        <w:t xml:space="preserve"> (</w:t>
      </w:r>
      <w:r w:rsidR="00801515" w:rsidRPr="00801515">
        <w:rPr>
          <w:i/>
          <w:iCs/>
        </w:rPr>
        <w:t>βλ. και</w:t>
      </w:r>
      <w:r w:rsidR="00801515">
        <w:rPr>
          <w:sz w:val="24"/>
          <w:szCs w:val="24"/>
        </w:rPr>
        <w:t xml:space="preserve"> </w:t>
      </w:r>
      <w:proofErr w:type="spellStart"/>
      <w:r w:rsidR="00A45FC0" w:rsidRPr="00A45FC0">
        <w:rPr>
          <w:i/>
          <w:iCs/>
        </w:rPr>
        <w:t>ΜονΠρΑθ</w:t>
      </w:r>
      <w:proofErr w:type="spellEnd"/>
      <w:r w:rsidR="00A45FC0" w:rsidRPr="00A45FC0">
        <w:rPr>
          <w:i/>
          <w:iCs/>
        </w:rPr>
        <w:t xml:space="preserve"> 3453/2018, </w:t>
      </w:r>
      <w:proofErr w:type="spellStart"/>
      <w:r w:rsidR="00A45FC0" w:rsidRPr="00A45FC0">
        <w:rPr>
          <w:i/>
          <w:iCs/>
        </w:rPr>
        <w:t>ΕφΑΔ</w:t>
      </w:r>
      <w:proofErr w:type="spellEnd"/>
      <w:r w:rsidR="00A45FC0" w:rsidRPr="00A45FC0">
        <w:rPr>
          <w:i/>
          <w:iCs/>
        </w:rPr>
        <w:t xml:space="preserve"> 2018.779</w:t>
      </w:r>
      <w:r w:rsidR="00A45FC0">
        <w:rPr>
          <w:sz w:val="24"/>
          <w:szCs w:val="24"/>
        </w:rPr>
        <w:t>)</w:t>
      </w:r>
      <w:r w:rsidR="00380496">
        <w:rPr>
          <w:sz w:val="24"/>
          <w:szCs w:val="24"/>
        </w:rPr>
        <w:t xml:space="preserve">, ενώ εξ αντιδιαστολής η έκδοση οριστικής απόφασης για την υπόθεση δεν οδηγεί σε ανάκληση της απόφασης ασφαλιστικών μέτρων, εκτός αν </w:t>
      </w:r>
      <w:r w:rsidR="00DB5817">
        <w:rPr>
          <w:sz w:val="24"/>
          <w:szCs w:val="24"/>
        </w:rPr>
        <w:t xml:space="preserve">η οριστική απόφαση </w:t>
      </w:r>
      <w:r w:rsidR="00380496">
        <w:rPr>
          <w:sz w:val="24"/>
          <w:szCs w:val="24"/>
        </w:rPr>
        <w:t>ωφελεί αυτόν που ζήτησε τα ασφαλιστικά μέτρα και εκτελεστεί (</w:t>
      </w:r>
      <w:proofErr w:type="spellStart"/>
      <w:r w:rsidR="00380496">
        <w:rPr>
          <w:sz w:val="24"/>
          <w:szCs w:val="24"/>
        </w:rPr>
        <w:t>ΚΠολΔ</w:t>
      </w:r>
      <w:proofErr w:type="spellEnd"/>
      <w:r w:rsidR="00380496">
        <w:rPr>
          <w:sz w:val="24"/>
          <w:szCs w:val="24"/>
        </w:rPr>
        <w:t xml:space="preserve"> 698§1β).</w:t>
      </w:r>
      <w:r w:rsidR="00C3338A">
        <w:rPr>
          <w:sz w:val="24"/>
          <w:szCs w:val="24"/>
        </w:rPr>
        <w:t xml:space="preserve"> </w:t>
      </w:r>
      <w:r w:rsidR="0012743C">
        <w:rPr>
          <w:sz w:val="24"/>
          <w:szCs w:val="24"/>
        </w:rPr>
        <w:t xml:space="preserve">Προηγουμένως τυχόν μεταβολή των συνθηκών που αφορούν το συμφέρον του </w:t>
      </w:r>
      <w:r w:rsidR="00801515">
        <w:rPr>
          <w:sz w:val="24"/>
          <w:szCs w:val="24"/>
        </w:rPr>
        <w:t>παιδιού</w:t>
      </w:r>
      <w:r w:rsidR="0012743C">
        <w:rPr>
          <w:sz w:val="24"/>
          <w:szCs w:val="24"/>
        </w:rPr>
        <w:t xml:space="preserve"> επιτρέπει την ανάκληση ή μεταρρύθμιση της απόφασης ασφαλιστικών μέτρων</w:t>
      </w:r>
      <w:r w:rsidR="004C16B4">
        <w:rPr>
          <w:sz w:val="24"/>
          <w:szCs w:val="24"/>
        </w:rPr>
        <w:t xml:space="preserve"> </w:t>
      </w:r>
      <w:r w:rsidR="0012743C">
        <w:rPr>
          <w:sz w:val="24"/>
          <w:szCs w:val="24"/>
        </w:rPr>
        <w:t>και μάλιστα από το δικαστήριο της κύριας δίκης, στο οποίο εκκρεμεί η έφεση κατά της οριστικής πρωτόδικης απόφασης</w:t>
      </w:r>
      <w:r w:rsidR="00CB1C98">
        <w:rPr>
          <w:sz w:val="24"/>
          <w:szCs w:val="24"/>
        </w:rPr>
        <w:t xml:space="preserve"> </w:t>
      </w:r>
      <w:r w:rsidR="009E21F9">
        <w:rPr>
          <w:sz w:val="24"/>
          <w:szCs w:val="24"/>
        </w:rPr>
        <w:t>(</w:t>
      </w:r>
      <w:r w:rsidR="00CB1C98" w:rsidRPr="009E21F9">
        <w:rPr>
          <w:i/>
          <w:iCs/>
        </w:rPr>
        <w:t xml:space="preserve">ΑΠ 432/1985, </w:t>
      </w:r>
      <w:proofErr w:type="spellStart"/>
      <w:r w:rsidR="00CB1C98" w:rsidRPr="009E21F9">
        <w:rPr>
          <w:i/>
          <w:iCs/>
        </w:rPr>
        <w:t>ΕλλΔνη</w:t>
      </w:r>
      <w:proofErr w:type="spellEnd"/>
      <w:r w:rsidR="00CB1C98" w:rsidRPr="009E21F9">
        <w:rPr>
          <w:i/>
          <w:iCs/>
        </w:rPr>
        <w:t xml:space="preserve"> 1985.869·</w:t>
      </w:r>
      <w:r w:rsidR="009E21F9" w:rsidRPr="009E21F9">
        <w:rPr>
          <w:i/>
          <w:iCs/>
        </w:rPr>
        <w:t xml:space="preserve"> </w:t>
      </w:r>
      <w:proofErr w:type="spellStart"/>
      <w:r w:rsidR="009E21F9" w:rsidRPr="009E21F9">
        <w:rPr>
          <w:i/>
          <w:iCs/>
        </w:rPr>
        <w:t>ΕφΑθ</w:t>
      </w:r>
      <w:proofErr w:type="spellEnd"/>
      <w:r w:rsidR="009E21F9" w:rsidRPr="009E21F9">
        <w:rPr>
          <w:i/>
          <w:iCs/>
        </w:rPr>
        <w:t xml:space="preserve"> 3962/2009, </w:t>
      </w:r>
      <w:proofErr w:type="spellStart"/>
      <w:r w:rsidR="009E21F9" w:rsidRPr="009E21F9">
        <w:rPr>
          <w:i/>
          <w:iCs/>
        </w:rPr>
        <w:t>ΕλλΔνη</w:t>
      </w:r>
      <w:proofErr w:type="spellEnd"/>
      <w:r w:rsidR="009E21F9" w:rsidRPr="009E21F9">
        <w:rPr>
          <w:i/>
          <w:iCs/>
        </w:rPr>
        <w:t xml:space="preserve"> 2009.1448· 1340/2019, ΤΝΠ ΝΟΜΟΣ</w:t>
      </w:r>
      <w:r w:rsidR="009E21F9">
        <w:rPr>
          <w:sz w:val="24"/>
          <w:szCs w:val="24"/>
        </w:rPr>
        <w:t>·</w:t>
      </w:r>
      <w:r w:rsidR="00CB1C98">
        <w:rPr>
          <w:sz w:val="24"/>
          <w:szCs w:val="24"/>
        </w:rPr>
        <w:t xml:space="preserve"> </w:t>
      </w:r>
      <w:proofErr w:type="spellStart"/>
      <w:r w:rsidR="0012743C" w:rsidRPr="001402C3">
        <w:rPr>
          <w:i/>
          <w:iCs/>
        </w:rPr>
        <w:t>Κεραμεύς</w:t>
      </w:r>
      <w:proofErr w:type="spellEnd"/>
      <w:r w:rsidR="0012743C" w:rsidRPr="001402C3">
        <w:rPr>
          <w:i/>
          <w:iCs/>
        </w:rPr>
        <w:t>/Κονδύλης/Νίκας</w:t>
      </w:r>
      <w:r w:rsidR="00E30EB1">
        <w:rPr>
          <w:i/>
          <w:iCs/>
        </w:rPr>
        <w:t xml:space="preserve"> </w:t>
      </w:r>
      <w:r w:rsidR="0012743C" w:rsidRPr="001402C3">
        <w:rPr>
          <w:i/>
          <w:iCs/>
        </w:rPr>
        <w:t>(-</w:t>
      </w:r>
      <w:proofErr w:type="spellStart"/>
      <w:r w:rsidR="0012743C" w:rsidRPr="001402C3">
        <w:rPr>
          <w:i/>
          <w:iCs/>
        </w:rPr>
        <w:t>Κράνης</w:t>
      </w:r>
      <w:proofErr w:type="spellEnd"/>
      <w:r w:rsidR="0012743C" w:rsidRPr="001402C3">
        <w:rPr>
          <w:i/>
          <w:iCs/>
        </w:rPr>
        <w:t xml:space="preserve">) </w:t>
      </w:r>
      <w:proofErr w:type="spellStart"/>
      <w:r w:rsidR="0012743C" w:rsidRPr="001402C3">
        <w:rPr>
          <w:i/>
          <w:iCs/>
        </w:rPr>
        <w:t>ΕρμΚΠολΔ</w:t>
      </w:r>
      <w:proofErr w:type="spellEnd"/>
      <w:r w:rsidR="0012743C" w:rsidRPr="001402C3">
        <w:rPr>
          <w:i/>
          <w:iCs/>
        </w:rPr>
        <w:t xml:space="preserve"> 2020</w:t>
      </w:r>
      <w:r w:rsidR="0012743C">
        <w:rPr>
          <w:i/>
          <w:iCs/>
          <w:vertAlign w:val="superscript"/>
        </w:rPr>
        <w:t>2</w:t>
      </w:r>
      <w:r w:rsidR="0012743C" w:rsidRPr="001402C3">
        <w:rPr>
          <w:i/>
          <w:iCs/>
        </w:rPr>
        <w:t xml:space="preserve">, άρθρ. </w:t>
      </w:r>
      <w:r w:rsidR="0012743C">
        <w:rPr>
          <w:i/>
          <w:iCs/>
        </w:rPr>
        <w:t>6</w:t>
      </w:r>
      <w:r w:rsidR="00CB1C98">
        <w:rPr>
          <w:i/>
          <w:iCs/>
        </w:rPr>
        <w:t>97</w:t>
      </w:r>
      <w:r w:rsidR="0012743C" w:rsidRPr="001402C3">
        <w:rPr>
          <w:i/>
          <w:iCs/>
        </w:rPr>
        <w:t xml:space="preserve"> αριθ. </w:t>
      </w:r>
      <w:r w:rsidR="00CB1C98">
        <w:rPr>
          <w:i/>
          <w:iCs/>
        </w:rPr>
        <w:t>3</w:t>
      </w:r>
      <w:r w:rsidR="0012743C" w:rsidRPr="0012743C">
        <w:rPr>
          <w:sz w:val="24"/>
          <w:szCs w:val="24"/>
        </w:rPr>
        <w:t>).</w:t>
      </w:r>
    </w:p>
    <w:p w:rsidR="00CC1C92" w:rsidRDefault="00801515" w:rsidP="00DF5AE8">
      <w:pPr>
        <w:jc w:val="both"/>
        <w:rPr>
          <w:sz w:val="24"/>
          <w:szCs w:val="24"/>
        </w:rPr>
      </w:pPr>
      <w:r>
        <w:rPr>
          <w:sz w:val="24"/>
          <w:szCs w:val="24"/>
        </w:rPr>
        <w:t xml:space="preserve">       10.</w:t>
      </w:r>
      <w:r w:rsidR="00E50236">
        <w:rPr>
          <w:sz w:val="24"/>
          <w:szCs w:val="24"/>
        </w:rPr>
        <w:t xml:space="preserve"> </w:t>
      </w:r>
      <w:r w:rsidR="00C31F37">
        <w:rPr>
          <w:sz w:val="24"/>
          <w:szCs w:val="24"/>
        </w:rPr>
        <w:t xml:space="preserve"> </w:t>
      </w:r>
      <w:r w:rsidR="00E30EB1">
        <w:rPr>
          <w:sz w:val="24"/>
          <w:szCs w:val="24"/>
        </w:rPr>
        <w:t>Η μεταρρυθμιστική απόφαση δεν υποκαθιστά την αρχική οριστική απόφαση, αλλά προσωρινά μόνον την αποδυναμώνει</w:t>
      </w:r>
      <w:r w:rsidR="00014DB2">
        <w:rPr>
          <w:sz w:val="24"/>
          <w:szCs w:val="24"/>
        </w:rPr>
        <w:t xml:space="preserve"> και ισχύει αντί γι’ αυτή μέχρι την έκδοση απόφασης επί της έφεσης κατά της αρχικής απόφασης</w:t>
      </w:r>
      <w:r w:rsidR="00E30EB1">
        <w:rPr>
          <w:sz w:val="24"/>
          <w:szCs w:val="24"/>
        </w:rPr>
        <w:t xml:space="preserve">. </w:t>
      </w:r>
      <w:r w:rsidR="00B137B6">
        <w:rPr>
          <w:sz w:val="24"/>
          <w:szCs w:val="24"/>
        </w:rPr>
        <w:t xml:space="preserve">Ο προσωρινός χαρακτήρας </w:t>
      </w:r>
      <w:r w:rsidR="00B137B6">
        <w:rPr>
          <w:sz w:val="24"/>
          <w:szCs w:val="24"/>
        </w:rPr>
        <w:lastRenderedPageBreak/>
        <w:t>της μεταρρυθμιστικής απόφασης είναι ασύμβατος με την άσκηση έφεσης κατά της μεταρρυθμιστικής απόφασης</w:t>
      </w:r>
      <w:r w:rsidR="003F01AB">
        <w:rPr>
          <w:sz w:val="24"/>
          <w:szCs w:val="24"/>
        </w:rPr>
        <w:t>, ενώ αντίθετα συμβατή είναι και πρέπει να γίνει δεκτή η δυνατότητα μεταρρύθμισ</w:t>
      </w:r>
      <w:r w:rsidR="00A0539F">
        <w:rPr>
          <w:sz w:val="24"/>
          <w:szCs w:val="24"/>
        </w:rPr>
        <w:t>η</w:t>
      </w:r>
      <w:r w:rsidR="003F01AB">
        <w:rPr>
          <w:sz w:val="24"/>
          <w:szCs w:val="24"/>
        </w:rPr>
        <w:t xml:space="preserve">ς </w:t>
      </w:r>
      <w:r w:rsidR="00A0539F">
        <w:rPr>
          <w:sz w:val="24"/>
          <w:szCs w:val="24"/>
        </w:rPr>
        <w:t xml:space="preserve">ή και ανάκλησής της </w:t>
      </w:r>
      <w:r w:rsidR="003F01AB">
        <w:rPr>
          <w:sz w:val="24"/>
          <w:szCs w:val="24"/>
        </w:rPr>
        <w:t xml:space="preserve">σε περίπτωση μεταβολής των συνθηκών </w:t>
      </w:r>
      <w:r w:rsidR="00A0539F">
        <w:rPr>
          <w:sz w:val="24"/>
          <w:szCs w:val="24"/>
        </w:rPr>
        <w:t xml:space="preserve">έκδοσής της </w:t>
      </w:r>
      <w:r w:rsidR="003F01AB">
        <w:rPr>
          <w:sz w:val="24"/>
          <w:szCs w:val="24"/>
        </w:rPr>
        <w:t>με κριτήριο πάντοτε το συμφέρον του παιδιού. Η λύση αυτή επιβεβαιώνεται</w:t>
      </w:r>
      <w:r w:rsidR="00725512">
        <w:rPr>
          <w:sz w:val="24"/>
          <w:szCs w:val="24"/>
        </w:rPr>
        <w:t>,</w:t>
      </w:r>
      <w:r w:rsidR="003F01AB">
        <w:rPr>
          <w:sz w:val="24"/>
          <w:szCs w:val="24"/>
        </w:rPr>
        <w:t xml:space="preserve"> άλλωστε</w:t>
      </w:r>
      <w:r w:rsidR="00725512">
        <w:rPr>
          <w:sz w:val="24"/>
          <w:szCs w:val="24"/>
        </w:rPr>
        <w:t>,</w:t>
      </w:r>
      <w:r w:rsidR="003F01AB">
        <w:rPr>
          <w:sz w:val="24"/>
          <w:szCs w:val="24"/>
        </w:rPr>
        <w:t xml:space="preserve"> με αναγωγή στη διαδικασία των ασφαλιστικών μέτρων, </w:t>
      </w:r>
      <w:r w:rsidR="00A0539F">
        <w:rPr>
          <w:sz w:val="24"/>
          <w:szCs w:val="24"/>
        </w:rPr>
        <w:t>οι διατάξεις της οποίας δεν επιτρέπουν</w:t>
      </w:r>
      <w:r w:rsidR="00725512">
        <w:rPr>
          <w:sz w:val="24"/>
          <w:szCs w:val="24"/>
        </w:rPr>
        <w:t xml:space="preserve"> </w:t>
      </w:r>
      <w:r w:rsidR="00A0539F">
        <w:rPr>
          <w:sz w:val="24"/>
          <w:szCs w:val="24"/>
        </w:rPr>
        <w:t>ένδικ</w:t>
      </w:r>
      <w:r w:rsidR="00725512">
        <w:rPr>
          <w:sz w:val="24"/>
          <w:szCs w:val="24"/>
        </w:rPr>
        <w:t>α</w:t>
      </w:r>
      <w:r w:rsidR="00A0539F">
        <w:rPr>
          <w:sz w:val="24"/>
          <w:szCs w:val="24"/>
        </w:rPr>
        <w:t xml:space="preserve"> μέσ</w:t>
      </w:r>
      <w:r w:rsidR="00725512">
        <w:rPr>
          <w:sz w:val="24"/>
          <w:szCs w:val="24"/>
        </w:rPr>
        <w:t>α</w:t>
      </w:r>
      <w:r w:rsidR="00A0539F">
        <w:rPr>
          <w:sz w:val="24"/>
          <w:szCs w:val="24"/>
        </w:rPr>
        <w:t xml:space="preserve"> κατά των σχετικών αποφάσεων</w:t>
      </w:r>
      <w:r w:rsidR="00725512">
        <w:rPr>
          <w:sz w:val="24"/>
          <w:szCs w:val="24"/>
        </w:rPr>
        <w:t xml:space="preserve">, </w:t>
      </w:r>
      <w:r w:rsidR="00A0539F">
        <w:rPr>
          <w:sz w:val="24"/>
          <w:szCs w:val="24"/>
        </w:rPr>
        <w:t xml:space="preserve">προβλέπουν </w:t>
      </w:r>
      <w:r w:rsidR="00725512">
        <w:rPr>
          <w:sz w:val="24"/>
          <w:szCs w:val="24"/>
        </w:rPr>
        <w:t xml:space="preserve">όμως τη </w:t>
      </w:r>
      <w:r w:rsidR="00A0539F">
        <w:rPr>
          <w:sz w:val="24"/>
          <w:szCs w:val="24"/>
        </w:rPr>
        <w:t>δυνατότητα ανάκλησης ή μεταρρύθμισ</w:t>
      </w:r>
      <w:r w:rsidR="00725512">
        <w:rPr>
          <w:sz w:val="24"/>
          <w:szCs w:val="24"/>
        </w:rPr>
        <w:t>ής του</w:t>
      </w:r>
      <w:r w:rsidR="00A0539F">
        <w:rPr>
          <w:sz w:val="24"/>
          <w:szCs w:val="24"/>
        </w:rPr>
        <w:t xml:space="preserve">ς </w:t>
      </w:r>
      <w:r w:rsidR="00725512">
        <w:rPr>
          <w:sz w:val="24"/>
          <w:szCs w:val="24"/>
        </w:rPr>
        <w:t>(</w:t>
      </w:r>
      <w:proofErr w:type="spellStart"/>
      <w:r w:rsidR="00725512">
        <w:rPr>
          <w:sz w:val="24"/>
          <w:szCs w:val="24"/>
        </w:rPr>
        <w:t>ΚΠολΔ</w:t>
      </w:r>
      <w:proofErr w:type="spellEnd"/>
      <w:r w:rsidR="00725512">
        <w:rPr>
          <w:sz w:val="24"/>
          <w:szCs w:val="24"/>
        </w:rPr>
        <w:t xml:space="preserve"> 696§2, 697, 699).</w:t>
      </w:r>
      <w:r w:rsidR="00B137B6">
        <w:rPr>
          <w:sz w:val="24"/>
          <w:szCs w:val="24"/>
        </w:rPr>
        <w:t xml:space="preserve"> </w:t>
      </w:r>
      <w:r w:rsidR="000A5856">
        <w:rPr>
          <w:sz w:val="24"/>
          <w:szCs w:val="24"/>
        </w:rPr>
        <w:t xml:space="preserve">Συνακόλουθα η αδυναμία άσκησης έφεσης κατά της μεταρρυθμιστικής απόφασης την καθιστά αμέσως εκτελεστή, </w:t>
      </w:r>
      <w:r w:rsidR="00675610">
        <w:rPr>
          <w:sz w:val="24"/>
          <w:szCs w:val="24"/>
        </w:rPr>
        <w:t xml:space="preserve">εφόσον βέβαια περιέχει </w:t>
      </w:r>
      <w:proofErr w:type="spellStart"/>
      <w:r w:rsidR="00675610">
        <w:rPr>
          <w:sz w:val="24"/>
          <w:szCs w:val="24"/>
        </w:rPr>
        <w:t>καταψηφιστικές</w:t>
      </w:r>
      <w:proofErr w:type="spellEnd"/>
      <w:r w:rsidR="00675610">
        <w:rPr>
          <w:sz w:val="24"/>
          <w:szCs w:val="24"/>
        </w:rPr>
        <w:t xml:space="preserve"> διατάξεις,</w:t>
      </w:r>
      <w:r w:rsidR="00402562">
        <w:rPr>
          <w:sz w:val="24"/>
          <w:szCs w:val="24"/>
        </w:rPr>
        <w:t xml:space="preserve"> </w:t>
      </w:r>
      <w:r w:rsidR="00675610">
        <w:rPr>
          <w:sz w:val="24"/>
          <w:szCs w:val="24"/>
        </w:rPr>
        <w:t xml:space="preserve">με συνέπεια έτσι να μην </w:t>
      </w:r>
      <w:r w:rsidR="000A5856">
        <w:rPr>
          <w:sz w:val="24"/>
          <w:szCs w:val="24"/>
        </w:rPr>
        <w:t>τίθεται ζήτημα προσωρινής εκτέλεσής της και άρα αναστολής της κατά το άρθρ. 913</w:t>
      </w:r>
      <w:r w:rsidR="00675610">
        <w:rPr>
          <w:sz w:val="24"/>
          <w:szCs w:val="24"/>
        </w:rPr>
        <w:t xml:space="preserve"> </w:t>
      </w:r>
      <w:proofErr w:type="spellStart"/>
      <w:r w:rsidR="000A5856">
        <w:rPr>
          <w:sz w:val="24"/>
          <w:szCs w:val="24"/>
        </w:rPr>
        <w:t>ΚΠολΔ</w:t>
      </w:r>
      <w:proofErr w:type="spellEnd"/>
      <w:r w:rsidR="00675610">
        <w:rPr>
          <w:sz w:val="24"/>
          <w:szCs w:val="24"/>
        </w:rPr>
        <w:t xml:space="preserve">, </w:t>
      </w:r>
      <w:r w:rsidR="00402562">
        <w:rPr>
          <w:sz w:val="24"/>
          <w:szCs w:val="24"/>
        </w:rPr>
        <w:t xml:space="preserve">δυνατή, ωστόσο, πρέπει να θεωρηθεί η άσκηση </w:t>
      </w:r>
      <w:r w:rsidR="00AE17DA">
        <w:rPr>
          <w:sz w:val="24"/>
          <w:szCs w:val="24"/>
        </w:rPr>
        <w:t xml:space="preserve">ανακοπής κατά της εκτέλεσής της υπό τις προϋποθέσεις των άρθρ. 933-934 </w:t>
      </w:r>
      <w:proofErr w:type="spellStart"/>
      <w:r w:rsidR="00AE17DA">
        <w:rPr>
          <w:sz w:val="24"/>
          <w:szCs w:val="24"/>
        </w:rPr>
        <w:t>ΚΠολΔ</w:t>
      </w:r>
      <w:proofErr w:type="spellEnd"/>
      <w:r w:rsidR="001860FD">
        <w:rPr>
          <w:sz w:val="24"/>
          <w:szCs w:val="24"/>
        </w:rPr>
        <w:t>.</w:t>
      </w:r>
      <w:r w:rsidR="00AE17DA">
        <w:rPr>
          <w:sz w:val="24"/>
          <w:szCs w:val="24"/>
        </w:rPr>
        <w:t xml:space="preserve"> </w:t>
      </w:r>
      <w:r w:rsidR="00B331BD">
        <w:rPr>
          <w:sz w:val="24"/>
          <w:szCs w:val="24"/>
        </w:rPr>
        <w:t xml:space="preserve">Με τη νέα ρύθμιση η μεταρρυθμιστική απόφαση πλεονεκτεί από άποψη </w:t>
      </w:r>
      <w:proofErr w:type="spellStart"/>
      <w:r w:rsidR="00B331BD">
        <w:rPr>
          <w:sz w:val="24"/>
          <w:szCs w:val="24"/>
        </w:rPr>
        <w:t>εκτελεστότητας</w:t>
      </w:r>
      <w:proofErr w:type="spellEnd"/>
      <w:r w:rsidR="00B331BD">
        <w:rPr>
          <w:sz w:val="24"/>
          <w:szCs w:val="24"/>
        </w:rPr>
        <w:t xml:space="preserve"> συγκριτικά με την αρχική απόφαση, το αποτέλεσμα όμως αυτό είναι αναπόφευκτο, </w:t>
      </w:r>
      <w:r w:rsidR="007D1E21">
        <w:rPr>
          <w:sz w:val="24"/>
          <w:szCs w:val="24"/>
        </w:rPr>
        <w:t>αν</w:t>
      </w:r>
      <w:r w:rsidR="00B331BD">
        <w:rPr>
          <w:sz w:val="24"/>
          <w:szCs w:val="24"/>
        </w:rPr>
        <w:t xml:space="preserve"> τελικά αποκλεισθεί η άσκηση εναντίον της έφεσης, ενώ ασφαλώς δεν είναι δυνατόν να </w:t>
      </w:r>
      <w:r w:rsidR="007D1E21">
        <w:rPr>
          <w:sz w:val="24"/>
          <w:szCs w:val="24"/>
        </w:rPr>
        <w:t xml:space="preserve">αξιολογηθεί η βασιμότητα </w:t>
      </w:r>
      <w:r w:rsidR="00AC0C9A">
        <w:rPr>
          <w:sz w:val="24"/>
          <w:szCs w:val="24"/>
        </w:rPr>
        <w:t xml:space="preserve">των λόγων </w:t>
      </w:r>
      <w:r w:rsidR="007D1E21">
        <w:rPr>
          <w:sz w:val="24"/>
          <w:szCs w:val="24"/>
        </w:rPr>
        <w:t xml:space="preserve">της έφεσης κατά της αρχικής  </w:t>
      </w:r>
      <w:r w:rsidR="00E777A7">
        <w:rPr>
          <w:sz w:val="24"/>
          <w:szCs w:val="24"/>
        </w:rPr>
        <w:t xml:space="preserve">οριστικής </w:t>
      </w:r>
      <w:r w:rsidR="007D1E21">
        <w:rPr>
          <w:sz w:val="24"/>
          <w:szCs w:val="24"/>
        </w:rPr>
        <w:t>απόφασης</w:t>
      </w:r>
      <w:r w:rsidR="000A5856">
        <w:rPr>
          <w:sz w:val="24"/>
          <w:szCs w:val="24"/>
        </w:rPr>
        <w:t xml:space="preserve"> </w:t>
      </w:r>
      <w:r w:rsidR="007D1E21">
        <w:rPr>
          <w:sz w:val="24"/>
          <w:szCs w:val="24"/>
        </w:rPr>
        <w:t xml:space="preserve">προκειμένου να ανασταλεί κατά το άρθρ. 913 </w:t>
      </w:r>
      <w:proofErr w:type="spellStart"/>
      <w:r w:rsidR="007D1E21">
        <w:rPr>
          <w:sz w:val="24"/>
          <w:szCs w:val="24"/>
        </w:rPr>
        <w:t>ΚΠολΔ</w:t>
      </w:r>
      <w:proofErr w:type="spellEnd"/>
      <w:r w:rsidR="007D1E21">
        <w:rPr>
          <w:sz w:val="24"/>
          <w:szCs w:val="24"/>
        </w:rPr>
        <w:t xml:space="preserve"> η </w:t>
      </w:r>
      <w:proofErr w:type="spellStart"/>
      <w:r w:rsidR="007D1E21">
        <w:rPr>
          <w:sz w:val="24"/>
          <w:szCs w:val="24"/>
        </w:rPr>
        <w:t>εκτελεστότητα</w:t>
      </w:r>
      <w:proofErr w:type="spellEnd"/>
      <w:r w:rsidR="007D1E21">
        <w:rPr>
          <w:sz w:val="24"/>
          <w:szCs w:val="24"/>
        </w:rPr>
        <w:t xml:space="preserve"> της μεταρρυθμιστικής απόφασης</w:t>
      </w:r>
      <w:r w:rsidR="00E777A7">
        <w:rPr>
          <w:sz w:val="24"/>
          <w:szCs w:val="24"/>
        </w:rPr>
        <w:t>.</w:t>
      </w:r>
      <w:r w:rsidR="000A5856">
        <w:rPr>
          <w:sz w:val="24"/>
          <w:szCs w:val="24"/>
        </w:rPr>
        <w:t xml:space="preserve">                  </w:t>
      </w:r>
      <w:r w:rsidR="00FF54A3">
        <w:rPr>
          <w:sz w:val="24"/>
          <w:szCs w:val="24"/>
        </w:rPr>
        <w:t xml:space="preserve">  </w:t>
      </w:r>
      <w:r w:rsidR="00EC19AD">
        <w:rPr>
          <w:sz w:val="24"/>
          <w:szCs w:val="24"/>
        </w:rPr>
        <w:t xml:space="preserve">  </w:t>
      </w:r>
    </w:p>
    <w:p w:rsidR="00EB0260" w:rsidRDefault="00CC1C92" w:rsidP="00DF5AE8">
      <w:pPr>
        <w:jc w:val="both"/>
        <w:rPr>
          <w:sz w:val="24"/>
          <w:szCs w:val="24"/>
        </w:rPr>
      </w:pPr>
      <w:r>
        <w:rPr>
          <w:sz w:val="24"/>
          <w:szCs w:val="24"/>
        </w:rPr>
        <w:t xml:space="preserve">  </w:t>
      </w:r>
      <w:r w:rsidR="006E40A1">
        <w:rPr>
          <w:sz w:val="24"/>
          <w:szCs w:val="24"/>
        </w:rPr>
        <w:t xml:space="preserve"> </w:t>
      </w:r>
      <w:r w:rsidR="005E2D24">
        <w:rPr>
          <w:sz w:val="24"/>
          <w:szCs w:val="24"/>
        </w:rPr>
        <w:t xml:space="preserve"> </w:t>
      </w:r>
      <w:r w:rsidR="00222EC1">
        <w:rPr>
          <w:sz w:val="24"/>
          <w:szCs w:val="24"/>
        </w:rPr>
        <w:t xml:space="preserve"> </w:t>
      </w:r>
      <w:r w:rsidR="005E2D24">
        <w:rPr>
          <w:sz w:val="24"/>
          <w:szCs w:val="24"/>
        </w:rPr>
        <w:t xml:space="preserve"> </w:t>
      </w:r>
      <w:r w:rsidR="00222EC1">
        <w:rPr>
          <w:sz w:val="24"/>
          <w:szCs w:val="24"/>
        </w:rPr>
        <w:t xml:space="preserve">  </w:t>
      </w:r>
      <w:r w:rsidR="00801515">
        <w:rPr>
          <w:sz w:val="24"/>
          <w:szCs w:val="24"/>
        </w:rPr>
        <w:t>11.</w:t>
      </w:r>
      <w:r w:rsidR="005E2D24">
        <w:rPr>
          <w:sz w:val="24"/>
          <w:szCs w:val="24"/>
        </w:rPr>
        <w:t xml:space="preserve"> </w:t>
      </w:r>
      <w:r w:rsidR="00801515">
        <w:rPr>
          <w:sz w:val="24"/>
          <w:szCs w:val="24"/>
        </w:rPr>
        <w:t xml:space="preserve">Συμπερασματικά, </w:t>
      </w:r>
      <w:r w:rsidR="00AE17DA">
        <w:rPr>
          <w:sz w:val="24"/>
          <w:szCs w:val="24"/>
        </w:rPr>
        <w:t xml:space="preserve">οι παραπάνω θέσεις δεν είναι ασφαλώς στο σύνολό τους αναντίρρητες, αποσκοπούν όμως </w:t>
      </w:r>
      <w:r w:rsidR="00482963">
        <w:rPr>
          <w:sz w:val="24"/>
          <w:szCs w:val="24"/>
        </w:rPr>
        <w:t>στην ερμηνευτική προσέγγιση μιας ρύθμισης που δεν καλύπτει και φαίνεται να αγνοεί τις παρεπόμενες συνέπειες που προκαλεί ή είναι αναγκαίο να συνδεθούν μ’ αυτή. Α</w:t>
      </w:r>
      <w:r w:rsidR="00AE17DA">
        <w:rPr>
          <w:sz w:val="24"/>
          <w:szCs w:val="24"/>
        </w:rPr>
        <w:t>ποδεκτός είναι επομένως ο</w:t>
      </w:r>
      <w:r w:rsidR="00482963">
        <w:rPr>
          <w:sz w:val="24"/>
          <w:szCs w:val="24"/>
        </w:rPr>
        <w:t xml:space="preserve"> τυχόν </w:t>
      </w:r>
      <w:r w:rsidR="00AE17DA">
        <w:rPr>
          <w:sz w:val="24"/>
          <w:szCs w:val="24"/>
        </w:rPr>
        <w:t>αντίλογος και οι διαφορετικές απόψεις</w:t>
      </w:r>
      <w:r w:rsidR="00482963">
        <w:rPr>
          <w:sz w:val="24"/>
          <w:szCs w:val="24"/>
        </w:rPr>
        <w:t xml:space="preserve">. </w:t>
      </w:r>
      <w:bookmarkStart w:id="5" w:name="_Hlk221188612"/>
      <w:r w:rsidR="00482963">
        <w:rPr>
          <w:sz w:val="24"/>
          <w:szCs w:val="24"/>
        </w:rPr>
        <w:t xml:space="preserve">Σε κάθε περίπτωση ισχύει η διαπίστωση </w:t>
      </w:r>
      <w:r w:rsidR="00D45A17">
        <w:rPr>
          <w:sz w:val="24"/>
          <w:szCs w:val="24"/>
        </w:rPr>
        <w:t xml:space="preserve">ότι η νέα ρύθμιση </w:t>
      </w:r>
      <w:r w:rsidR="00E777A7">
        <w:rPr>
          <w:sz w:val="24"/>
          <w:szCs w:val="24"/>
        </w:rPr>
        <w:t xml:space="preserve">καλείται </w:t>
      </w:r>
      <w:r w:rsidR="00D45A17">
        <w:rPr>
          <w:sz w:val="24"/>
          <w:szCs w:val="24"/>
        </w:rPr>
        <w:t>να αντιμετωπίσει προσωρινά ζητήματα επιμέλειας και επικοινωνίας</w:t>
      </w:r>
      <w:r w:rsidR="00EB0260">
        <w:rPr>
          <w:sz w:val="24"/>
          <w:szCs w:val="24"/>
        </w:rPr>
        <w:t>,</w:t>
      </w:r>
      <w:bookmarkEnd w:id="5"/>
      <w:r w:rsidR="00EB0260">
        <w:rPr>
          <w:sz w:val="24"/>
          <w:szCs w:val="24"/>
        </w:rPr>
        <w:t xml:space="preserve"> τα οποία το ίδιο αποτελεσματικά μπορούν να αντιμετωπισθούν με τη διαδικασία των ασφαλιστικών μέτρων στο πλαίσιο προσωρινής ρύθμισης της κατάστασης. Κατ’ αυτή την έννοια η εισαγωγή της νέας ρύθμισης δεν ήταν οπωσδήποτε αναγκαία, αν μάλιστα ληφθεί υπόψη ότι παρακάμπτει το δικονομικό δόγμα σε κρίσιμα ζητήματα της οριστικής δικαστικής προστασίας.</w:t>
      </w:r>
    </w:p>
    <w:p w:rsidR="00EA572C" w:rsidRPr="005602AE" w:rsidRDefault="00EF1268" w:rsidP="00BB4F09">
      <w:pPr>
        <w:jc w:val="both"/>
        <w:rPr>
          <w:rFonts w:cstheme="minorHAnsi"/>
        </w:rPr>
      </w:pPr>
      <w:r>
        <w:rPr>
          <w:i/>
          <w:iCs/>
          <w:lang w:val="en-US"/>
        </w:rPr>
        <w:t xml:space="preserve"> </w:t>
      </w:r>
      <w:r w:rsidR="00EB0260">
        <w:rPr>
          <w:sz w:val="24"/>
          <w:szCs w:val="24"/>
        </w:rPr>
        <w:t xml:space="preserve"> </w:t>
      </w:r>
      <w:r w:rsidR="0055395B">
        <w:rPr>
          <w:sz w:val="24"/>
          <w:szCs w:val="24"/>
        </w:rPr>
        <w:t xml:space="preserve"> </w:t>
      </w:r>
      <w:r w:rsidR="00BB4F09">
        <w:rPr>
          <w:sz w:val="24"/>
          <w:szCs w:val="24"/>
        </w:rPr>
        <w:t xml:space="preserve"> </w:t>
      </w:r>
      <w:r w:rsidR="00F91C24">
        <w:rPr>
          <w:rFonts w:cstheme="minorHAnsi"/>
        </w:rPr>
        <w:t xml:space="preserve"> </w:t>
      </w:r>
      <w:r w:rsidR="00182BE7">
        <w:rPr>
          <w:rFonts w:cstheme="minorHAnsi"/>
        </w:rPr>
        <w:t xml:space="preserve"> </w:t>
      </w:r>
      <w:r w:rsidR="00DF5AE8" w:rsidRPr="005602AE">
        <w:rPr>
          <w:rFonts w:cstheme="minorHAnsi"/>
        </w:rPr>
        <w:t xml:space="preserve">      </w:t>
      </w:r>
    </w:p>
    <w:sectPr w:rsidR="00EA572C" w:rsidRPr="005602AE">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7C1F" w:rsidRDefault="00097C1F" w:rsidP="00E54565">
      <w:pPr>
        <w:spacing w:after="0" w:line="240" w:lineRule="auto"/>
      </w:pPr>
      <w:r>
        <w:separator/>
      </w:r>
    </w:p>
  </w:endnote>
  <w:endnote w:type="continuationSeparator" w:id="0">
    <w:p w:rsidR="00097C1F" w:rsidRDefault="00097C1F" w:rsidP="00E54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A1"/>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7C1F" w:rsidRDefault="00097C1F" w:rsidP="00E54565">
      <w:pPr>
        <w:spacing w:after="0" w:line="240" w:lineRule="auto"/>
      </w:pPr>
      <w:r>
        <w:separator/>
      </w:r>
    </w:p>
  </w:footnote>
  <w:footnote w:type="continuationSeparator" w:id="0">
    <w:p w:rsidR="00097C1F" w:rsidRDefault="00097C1F" w:rsidP="00E545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565" w:rsidRDefault="00E54565">
    <w:pPr>
      <w:pStyle w:val="aa"/>
    </w:pPr>
    <w:r>
      <w:t xml:space="preserve">                                                                               -</w:t>
    </w:r>
    <w:sdt>
      <w:sdtPr>
        <w:id w:val="1705360102"/>
        <w:docPartObj>
          <w:docPartGallery w:val="Page Numbers (Top of Page)"/>
          <w:docPartUnique/>
        </w:docPartObj>
      </w:sdtPr>
      <w:sdtEndPr/>
      <w:sdtContent>
        <w:r>
          <w:fldChar w:fldCharType="begin"/>
        </w:r>
        <w:r>
          <w:instrText>PAGE   \* MERGEFORMAT</w:instrText>
        </w:r>
        <w:r>
          <w:fldChar w:fldCharType="separate"/>
        </w:r>
        <w:r>
          <w:t>2</w:t>
        </w:r>
        <w:r>
          <w:fldChar w:fldCharType="end"/>
        </w:r>
        <w:r>
          <w:t>-</w:t>
        </w:r>
      </w:sdtContent>
    </w:sdt>
  </w:p>
  <w:p w:rsidR="00E54565" w:rsidRDefault="00E54565">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AE8"/>
    <w:rsid w:val="000000EF"/>
    <w:rsid w:val="00014DB2"/>
    <w:rsid w:val="00016958"/>
    <w:rsid w:val="00037C5E"/>
    <w:rsid w:val="00045B93"/>
    <w:rsid w:val="000854A0"/>
    <w:rsid w:val="00097C1F"/>
    <w:rsid w:val="000A5856"/>
    <w:rsid w:val="000A6A07"/>
    <w:rsid w:val="000D5B87"/>
    <w:rsid w:val="00107A15"/>
    <w:rsid w:val="001218E6"/>
    <w:rsid w:val="0012743C"/>
    <w:rsid w:val="001402C3"/>
    <w:rsid w:val="00166A1E"/>
    <w:rsid w:val="001732A8"/>
    <w:rsid w:val="00182BE7"/>
    <w:rsid w:val="001860FD"/>
    <w:rsid w:val="001A258D"/>
    <w:rsid w:val="001A6532"/>
    <w:rsid w:val="0020246B"/>
    <w:rsid w:val="00222EC1"/>
    <w:rsid w:val="0023530A"/>
    <w:rsid w:val="00236359"/>
    <w:rsid w:val="00245A3C"/>
    <w:rsid w:val="0025767C"/>
    <w:rsid w:val="002577D1"/>
    <w:rsid w:val="002606DF"/>
    <w:rsid w:val="002745F1"/>
    <w:rsid w:val="00284EBE"/>
    <w:rsid w:val="002A5540"/>
    <w:rsid w:val="00344604"/>
    <w:rsid w:val="003636E0"/>
    <w:rsid w:val="00366F7E"/>
    <w:rsid w:val="00380496"/>
    <w:rsid w:val="003B01E5"/>
    <w:rsid w:val="003E097F"/>
    <w:rsid w:val="003F01AB"/>
    <w:rsid w:val="003F13A4"/>
    <w:rsid w:val="00402562"/>
    <w:rsid w:val="00403FE1"/>
    <w:rsid w:val="00411A16"/>
    <w:rsid w:val="00434161"/>
    <w:rsid w:val="00436E9A"/>
    <w:rsid w:val="00447CC3"/>
    <w:rsid w:val="0046344D"/>
    <w:rsid w:val="00472A86"/>
    <w:rsid w:val="00482963"/>
    <w:rsid w:val="004A17A4"/>
    <w:rsid w:val="004A3947"/>
    <w:rsid w:val="004C16B4"/>
    <w:rsid w:val="004C2CA6"/>
    <w:rsid w:val="004D0255"/>
    <w:rsid w:val="004D5A16"/>
    <w:rsid w:val="004E0D9A"/>
    <w:rsid w:val="00513D1D"/>
    <w:rsid w:val="0055395B"/>
    <w:rsid w:val="005602AE"/>
    <w:rsid w:val="00575694"/>
    <w:rsid w:val="005949C8"/>
    <w:rsid w:val="00595604"/>
    <w:rsid w:val="005C3894"/>
    <w:rsid w:val="005C55E4"/>
    <w:rsid w:val="005E2D24"/>
    <w:rsid w:val="005F293F"/>
    <w:rsid w:val="005F6929"/>
    <w:rsid w:val="00624964"/>
    <w:rsid w:val="0063196E"/>
    <w:rsid w:val="00672193"/>
    <w:rsid w:val="00675610"/>
    <w:rsid w:val="00677E8F"/>
    <w:rsid w:val="006E40A1"/>
    <w:rsid w:val="00725512"/>
    <w:rsid w:val="00733442"/>
    <w:rsid w:val="007525AC"/>
    <w:rsid w:val="007641E3"/>
    <w:rsid w:val="00774B1F"/>
    <w:rsid w:val="0077607C"/>
    <w:rsid w:val="007A645B"/>
    <w:rsid w:val="007C6089"/>
    <w:rsid w:val="007C7037"/>
    <w:rsid w:val="007D1E21"/>
    <w:rsid w:val="00801515"/>
    <w:rsid w:val="00806994"/>
    <w:rsid w:val="00825D16"/>
    <w:rsid w:val="008778E6"/>
    <w:rsid w:val="0096204D"/>
    <w:rsid w:val="009A6F21"/>
    <w:rsid w:val="009C2492"/>
    <w:rsid w:val="009E190D"/>
    <w:rsid w:val="009E21F9"/>
    <w:rsid w:val="009F1DD7"/>
    <w:rsid w:val="00A0539F"/>
    <w:rsid w:val="00A37E1A"/>
    <w:rsid w:val="00A45FC0"/>
    <w:rsid w:val="00A5206A"/>
    <w:rsid w:val="00A77357"/>
    <w:rsid w:val="00AA373B"/>
    <w:rsid w:val="00AA3B2F"/>
    <w:rsid w:val="00AB6E34"/>
    <w:rsid w:val="00AB7283"/>
    <w:rsid w:val="00AC0C9A"/>
    <w:rsid w:val="00AC332E"/>
    <w:rsid w:val="00AC3394"/>
    <w:rsid w:val="00AE17DA"/>
    <w:rsid w:val="00B137B6"/>
    <w:rsid w:val="00B331BD"/>
    <w:rsid w:val="00B80544"/>
    <w:rsid w:val="00BA60FF"/>
    <w:rsid w:val="00BB111D"/>
    <w:rsid w:val="00BB4F09"/>
    <w:rsid w:val="00BC35F4"/>
    <w:rsid w:val="00BC7F89"/>
    <w:rsid w:val="00C31F37"/>
    <w:rsid w:val="00C3338A"/>
    <w:rsid w:val="00C4294F"/>
    <w:rsid w:val="00C42D8A"/>
    <w:rsid w:val="00C62CC2"/>
    <w:rsid w:val="00C70EA3"/>
    <w:rsid w:val="00C77D72"/>
    <w:rsid w:val="00CB1C98"/>
    <w:rsid w:val="00CC1C92"/>
    <w:rsid w:val="00CC4131"/>
    <w:rsid w:val="00CD2D94"/>
    <w:rsid w:val="00D04204"/>
    <w:rsid w:val="00D45A17"/>
    <w:rsid w:val="00D5210E"/>
    <w:rsid w:val="00DB5817"/>
    <w:rsid w:val="00DF0335"/>
    <w:rsid w:val="00DF368B"/>
    <w:rsid w:val="00DF5AE8"/>
    <w:rsid w:val="00DF63D6"/>
    <w:rsid w:val="00E27B8B"/>
    <w:rsid w:val="00E30EB1"/>
    <w:rsid w:val="00E50236"/>
    <w:rsid w:val="00E54565"/>
    <w:rsid w:val="00E77675"/>
    <w:rsid w:val="00E777A7"/>
    <w:rsid w:val="00EA572C"/>
    <w:rsid w:val="00EB0260"/>
    <w:rsid w:val="00EC18C0"/>
    <w:rsid w:val="00EC1998"/>
    <w:rsid w:val="00EC19AD"/>
    <w:rsid w:val="00ED577D"/>
    <w:rsid w:val="00EF1268"/>
    <w:rsid w:val="00F13100"/>
    <w:rsid w:val="00F62EB3"/>
    <w:rsid w:val="00F81722"/>
    <w:rsid w:val="00F85133"/>
    <w:rsid w:val="00F91C24"/>
    <w:rsid w:val="00FA7153"/>
    <w:rsid w:val="00FD46C8"/>
    <w:rsid w:val="00FF54A3"/>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493361-35E3-421A-AEC9-5C8AC4ADB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l-GR"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F5AE8"/>
    <w:pPr>
      <w:spacing w:after="200" w:line="276" w:lineRule="auto"/>
    </w:pPr>
    <w:rPr>
      <w:rFonts w:ascii="Calibri" w:eastAsia="Calibri" w:hAnsi="Calibri" w:cs="Times New Roman"/>
      <w:kern w:val="0"/>
      <w:sz w:val="22"/>
      <w:szCs w:val="22"/>
      <w:lang w:eastAsia="en-US"/>
      <w14:ligatures w14:val="none"/>
    </w:rPr>
  </w:style>
  <w:style w:type="paragraph" w:styleId="1">
    <w:name w:val="heading 1"/>
    <w:basedOn w:val="a"/>
    <w:next w:val="a"/>
    <w:link w:val="1Char"/>
    <w:uiPriority w:val="9"/>
    <w:qFormat/>
    <w:rsid w:val="00DF5AE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zh-CN"/>
      <w14:ligatures w14:val="standardContextual"/>
    </w:rPr>
  </w:style>
  <w:style w:type="paragraph" w:styleId="2">
    <w:name w:val="heading 2"/>
    <w:basedOn w:val="a"/>
    <w:next w:val="a"/>
    <w:link w:val="2Char"/>
    <w:uiPriority w:val="9"/>
    <w:semiHidden/>
    <w:unhideWhenUsed/>
    <w:qFormat/>
    <w:rsid w:val="00DF5AE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zh-CN"/>
      <w14:ligatures w14:val="standardContextual"/>
    </w:rPr>
  </w:style>
  <w:style w:type="paragraph" w:styleId="3">
    <w:name w:val="heading 3"/>
    <w:basedOn w:val="a"/>
    <w:next w:val="a"/>
    <w:link w:val="3Char"/>
    <w:uiPriority w:val="9"/>
    <w:semiHidden/>
    <w:unhideWhenUsed/>
    <w:qFormat/>
    <w:rsid w:val="00DF5AE8"/>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zh-CN"/>
      <w14:ligatures w14:val="standardContextual"/>
    </w:rPr>
  </w:style>
  <w:style w:type="paragraph" w:styleId="4">
    <w:name w:val="heading 4"/>
    <w:basedOn w:val="a"/>
    <w:next w:val="a"/>
    <w:link w:val="4Char"/>
    <w:uiPriority w:val="9"/>
    <w:semiHidden/>
    <w:unhideWhenUsed/>
    <w:qFormat/>
    <w:rsid w:val="00DF5AE8"/>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zh-CN"/>
      <w14:ligatures w14:val="standardContextual"/>
    </w:rPr>
  </w:style>
  <w:style w:type="paragraph" w:styleId="5">
    <w:name w:val="heading 5"/>
    <w:basedOn w:val="a"/>
    <w:next w:val="a"/>
    <w:link w:val="5Char"/>
    <w:uiPriority w:val="9"/>
    <w:semiHidden/>
    <w:unhideWhenUsed/>
    <w:qFormat/>
    <w:rsid w:val="00DF5AE8"/>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zh-CN"/>
      <w14:ligatures w14:val="standardContextual"/>
    </w:rPr>
  </w:style>
  <w:style w:type="paragraph" w:styleId="6">
    <w:name w:val="heading 6"/>
    <w:basedOn w:val="a"/>
    <w:next w:val="a"/>
    <w:link w:val="6Char"/>
    <w:uiPriority w:val="9"/>
    <w:semiHidden/>
    <w:unhideWhenUsed/>
    <w:qFormat/>
    <w:rsid w:val="00DF5AE8"/>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zh-CN"/>
      <w14:ligatures w14:val="standardContextual"/>
    </w:rPr>
  </w:style>
  <w:style w:type="paragraph" w:styleId="7">
    <w:name w:val="heading 7"/>
    <w:basedOn w:val="a"/>
    <w:next w:val="a"/>
    <w:link w:val="7Char"/>
    <w:uiPriority w:val="9"/>
    <w:semiHidden/>
    <w:unhideWhenUsed/>
    <w:qFormat/>
    <w:rsid w:val="00DF5AE8"/>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zh-CN"/>
      <w14:ligatures w14:val="standardContextual"/>
    </w:rPr>
  </w:style>
  <w:style w:type="paragraph" w:styleId="8">
    <w:name w:val="heading 8"/>
    <w:basedOn w:val="a"/>
    <w:next w:val="a"/>
    <w:link w:val="8Char"/>
    <w:uiPriority w:val="9"/>
    <w:semiHidden/>
    <w:unhideWhenUsed/>
    <w:qFormat/>
    <w:rsid w:val="00DF5AE8"/>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zh-CN"/>
      <w14:ligatures w14:val="standardContextual"/>
    </w:rPr>
  </w:style>
  <w:style w:type="paragraph" w:styleId="9">
    <w:name w:val="heading 9"/>
    <w:basedOn w:val="a"/>
    <w:next w:val="a"/>
    <w:link w:val="9Char"/>
    <w:uiPriority w:val="9"/>
    <w:semiHidden/>
    <w:unhideWhenUsed/>
    <w:qFormat/>
    <w:rsid w:val="00DF5AE8"/>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zh-CN"/>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F5AE8"/>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DF5AE8"/>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DF5AE8"/>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DF5AE8"/>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DF5AE8"/>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DF5AE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F5AE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F5AE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F5AE8"/>
    <w:rPr>
      <w:rFonts w:eastAsiaTheme="majorEastAsia" w:cstheme="majorBidi"/>
      <w:color w:val="272727" w:themeColor="text1" w:themeTint="D8"/>
    </w:rPr>
  </w:style>
  <w:style w:type="paragraph" w:styleId="a3">
    <w:name w:val="Title"/>
    <w:basedOn w:val="a"/>
    <w:next w:val="a"/>
    <w:link w:val="Char"/>
    <w:uiPriority w:val="10"/>
    <w:qFormat/>
    <w:rsid w:val="00DF5AE8"/>
    <w:pPr>
      <w:spacing w:after="80" w:line="240" w:lineRule="auto"/>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Char">
    <w:name w:val="Τίτλος Char"/>
    <w:basedOn w:val="a0"/>
    <w:link w:val="a3"/>
    <w:uiPriority w:val="10"/>
    <w:rsid w:val="00DF5AE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F5AE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Char0">
    <w:name w:val="Υπότιτλος Char"/>
    <w:basedOn w:val="a0"/>
    <w:link w:val="a4"/>
    <w:uiPriority w:val="11"/>
    <w:rsid w:val="00DF5AE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F5AE8"/>
    <w:pPr>
      <w:spacing w:before="160" w:after="160" w:line="278" w:lineRule="auto"/>
      <w:jc w:val="center"/>
    </w:pPr>
    <w:rPr>
      <w:rFonts w:asciiTheme="minorHAnsi" w:eastAsiaTheme="minorEastAsia" w:hAnsiTheme="minorHAnsi" w:cstheme="minorBidi"/>
      <w:i/>
      <w:iCs/>
      <w:color w:val="404040" w:themeColor="text1" w:themeTint="BF"/>
      <w:kern w:val="2"/>
      <w:sz w:val="24"/>
      <w:szCs w:val="24"/>
      <w:lang w:eastAsia="zh-CN"/>
      <w14:ligatures w14:val="standardContextual"/>
    </w:rPr>
  </w:style>
  <w:style w:type="character" w:customStyle="1" w:styleId="Char1">
    <w:name w:val="Απόσπασμα Char"/>
    <w:basedOn w:val="a0"/>
    <w:link w:val="a5"/>
    <w:uiPriority w:val="29"/>
    <w:rsid w:val="00DF5AE8"/>
    <w:rPr>
      <w:i/>
      <w:iCs/>
      <w:color w:val="404040" w:themeColor="text1" w:themeTint="BF"/>
    </w:rPr>
  </w:style>
  <w:style w:type="paragraph" w:styleId="a6">
    <w:name w:val="List Paragraph"/>
    <w:basedOn w:val="a"/>
    <w:uiPriority w:val="34"/>
    <w:qFormat/>
    <w:rsid w:val="00DF5AE8"/>
    <w:pPr>
      <w:spacing w:after="160" w:line="278" w:lineRule="auto"/>
      <w:ind w:left="720"/>
      <w:contextualSpacing/>
    </w:pPr>
    <w:rPr>
      <w:rFonts w:asciiTheme="minorHAnsi" w:eastAsiaTheme="minorEastAsia" w:hAnsiTheme="minorHAnsi" w:cstheme="minorBidi"/>
      <w:kern w:val="2"/>
      <w:sz w:val="24"/>
      <w:szCs w:val="24"/>
      <w:lang w:eastAsia="zh-CN"/>
      <w14:ligatures w14:val="standardContextual"/>
    </w:rPr>
  </w:style>
  <w:style w:type="character" w:styleId="a7">
    <w:name w:val="Intense Emphasis"/>
    <w:basedOn w:val="a0"/>
    <w:uiPriority w:val="21"/>
    <w:qFormat/>
    <w:rsid w:val="00DF5AE8"/>
    <w:rPr>
      <w:i/>
      <w:iCs/>
      <w:color w:val="2F5496" w:themeColor="accent1" w:themeShade="BF"/>
    </w:rPr>
  </w:style>
  <w:style w:type="paragraph" w:styleId="a8">
    <w:name w:val="Intense Quote"/>
    <w:basedOn w:val="a"/>
    <w:next w:val="a"/>
    <w:link w:val="Char2"/>
    <w:uiPriority w:val="30"/>
    <w:qFormat/>
    <w:rsid w:val="00DF5AE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kern w:val="2"/>
      <w:sz w:val="24"/>
      <w:szCs w:val="24"/>
      <w:lang w:eastAsia="zh-CN"/>
      <w14:ligatures w14:val="standardContextual"/>
    </w:rPr>
  </w:style>
  <w:style w:type="character" w:customStyle="1" w:styleId="Char2">
    <w:name w:val="Έντονο απόσπ. Char"/>
    <w:basedOn w:val="a0"/>
    <w:link w:val="a8"/>
    <w:uiPriority w:val="30"/>
    <w:rsid w:val="00DF5AE8"/>
    <w:rPr>
      <w:i/>
      <w:iCs/>
      <w:color w:val="2F5496" w:themeColor="accent1" w:themeShade="BF"/>
    </w:rPr>
  </w:style>
  <w:style w:type="character" w:styleId="a9">
    <w:name w:val="Intense Reference"/>
    <w:basedOn w:val="a0"/>
    <w:uiPriority w:val="32"/>
    <w:qFormat/>
    <w:rsid w:val="00DF5AE8"/>
    <w:rPr>
      <w:b/>
      <w:bCs/>
      <w:smallCaps/>
      <w:color w:val="2F5496" w:themeColor="accent1" w:themeShade="BF"/>
      <w:spacing w:val="5"/>
    </w:rPr>
  </w:style>
  <w:style w:type="paragraph" w:styleId="aa">
    <w:name w:val="header"/>
    <w:basedOn w:val="a"/>
    <w:link w:val="Char3"/>
    <w:uiPriority w:val="99"/>
    <w:unhideWhenUsed/>
    <w:rsid w:val="00E54565"/>
    <w:pPr>
      <w:tabs>
        <w:tab w:val="center" w:pos="4153"/>
        <w:tab w:val="right" w:pos="8306"/>
      </w:tabs>
      <w:spacing w:after="0" w:line="240" w:lineRule="auto"/>
    </w:pPr>
  </w:style>
  <w:style w:type="character" w:customStyle="1" w:styleId="Char3">
    <w:name w:val="Κεφαλίδα Char"/>
    <w:basedOn w:val="a0"/>
    <w:link w:val="aa"/>
    <w:uiPriority w:val="99"/>
    <w:rsid w:val="00E54565"/>
    <w:rPr>
      <w:rFonts w:ascii="Calibri" w:eastAsia="Calibri" w:hAnsi="Calibri" w:cs="Times New Roman"/>
      <w:kern w:val="0"/>
      <w:sz w:val="22"/>
      <w:szCs w:val="22"/>
      <w:lang w:eastAsia="en-US"/>
      <w14:ligatures w14:val="none"/>
    </w:rPr>
  </w:style>
  <w:style w:type="paragraph" w:styleId="ab">
    <w:name w:val="footer"/>
    <w:basedOn w:val="a"/>
    <w:link w:val="Char4"/>
    <w:uiPriority w:val="99"/>
    <w:unhideWhenUsed/>
    <w:rsid w:val="00E54565"/>
    <w:pPr>
      <w:tabs>
        <w:tab w:val="center" w:pos="4153"/>
        <w:tab w:val="right" w:pos="8306"/>
      </w:tabs>
      <w:spacing w:after="0" w:line="240" w:lineRule="auto"/>
    </w:pPr>
  </w:style>
  <w:style w:type="character" w:customStyle="1" w:styleId="Char4">
    <w:name w:val="Υποσέλιδο Char"/>
    <w:basedOn w:val="a0"/>
    <w:link w:val="ab"/>
    <w:uiPriority w:val="99"/>
    <w:rsid w:val="00E54565"/>
    <w:rPr>
      <w:rFonts w:ascii="Calibri" w:eastAsia="Calibri" w:hAnsi="Calibri" w:cs="Times New Roman"/>
      <w:kern w:val="0"/>
      <w:sz w:val="22"/>
      <w:szCs w:val="22"/>
      <w:lang w:eastAsia="en-US"/>
      <w14:ligatures w14:val="none"/>
    </w:rPr>
  </w:style>
  <w:style w:type="paragraph" w:styleId="-HTML">
    <w:name w:val="HTML Preformatted"/>
    <w:basedOn w:val="a"/>
    <w:link w:val="-HTMLChar"/>
    <w:uiPriority w:val="99"/>
    <w:unhideWhenUsed/>
    <w:rsid w:val="005602AE"/>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5602AE"/>
    <w:rPr>
      <w:rFonts w:ascii="Consolas" w:eastAsia="Calibri" w:hAnsi="Consolas" w:cs="Times New Roman"/>
      <w:kern w:val="0"/>
      <w:sz w:val="20"/>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1734</Words>
  <Characters>9368</Characters>
  <Application>Microsoft Office Word</Application>
  <DocSecurity>0</DocSecurity>
  <Lines>78</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dc:creator>
  <cp:keywords/>
  <dc:description/>
  <cp:lastModifiedBy>Harry Anthis</cp:lastModifiedBy>
  <cp:revision>2</cp:revision>
  <dcterms:created xsi:type="dcterms:W3CDTF">2026-02-06T11:33:00Z</dcterms:created>
  <dcterms:modified xsi:type="dcterms:W3CDTF">2026-02-06T11:33:00Z</dcterms:modified>
</cp:coreProperties>
</file>