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B7" w:rsidRDefault="00A045BE" w:rsidP="00690309">
      <w:pPr>
        <w:spacing w:line="360" w:lineRule="auto"/>
        <w:jc w:val="both"/>
        <w:rPr>
          <w:rFonts w:ascii="Bookman Old Style" w:eastAsia="Times New Roman" w:hAnsi="Bookman Old Style" w:cs="Times New Roman"/>
          <w:b/>
          <w:i/>
          <w:sz w:val="24"/>
          <w:szCs w:val="24"/>
          <w:lang w:val="en-US"/>
        </w:rPr>
      </w:pPr>
      <w:r>
        <w:rPr>
          <w:rFonts w:ascii="Bookman Old Style" w:eastAsia="Times New Roman" w:hAnsi="Bookman Old Style" w:cs="Times New Roman"/>
          <w:b/>
          <w:i/>
          <w:sz w:val="24"/>
          <w:szCs w:val="24"/>
        </w:rPr>
        <w:t>Οι μικροδιαφορές και, εν γένει, τ</w:t>
      </w:r>
      <w:r w:rsidR="00F11EFD" w:rsidRPr="00690309">
        <w:rPr>
          <w:rFonts w:ascii="Bookman Old Style" w:eastAsia="Times New Roman" w:hAnsi="Bookman Old Style" w:cs="Times New Roman"/>
          <w:b/>
          <w:i/>
          <w:sz w:val="24"/>
          <w:szCs w:val="24"/>
        </w:rPr>
        <w:t xml:space="preserve">ο Δίκαιο ήσσονος αξίας διαφορών </w:t>
      </w:r>
      <w:r w:rsidR="00D021B7" w:rsidRPr="00690309">
        <w:rPr>
          <w:rFonts w:ascii="Bookman Old Style" w:eastAsia="Times New Roman" w:hAnsi="Bookman Old Style" w:cs="Times New Roman"/>
          <w:b/>
          <w:i/>
          <w:sz w:val="24"/>
          <w:szCs w:val="24"/>
        </w:rPr>
        <w:t xml:space="preserve">στα κράτη μέλη Ε.Ε. </w:t>
      </w:r>
    </w:p>
    <w:p w:rsidR="00E00EE3" w:rsidRDefault="00E00EE3" w:rsidP="00690309">
      <w:pPr>
        <w:spacing w:line="360" w:lineRule="auto"/>
        <w:jc w:val="both"/>
        <w:rPr>
          <w:rFonts w:ascii="Bookman Old Style" w:eastAsia="Times New Roman" w:hAnsi="Bookman Old Style" w:cs="Times New Roman"/>
          <w:b/>
          <w:i/>
          <w:sz w:val="24"/>
          <w:szCs w:val="24"/>
          <w:lang w:val="en-US"/>
        </w:rPr>
      </w:pPr>
    </w:p>
    <w:p w:rsidR="00E00EE3" w:rsidRPr="00690309" w:rsidRDefault="00E00EE3" w:rsidP="00E00EE3">
      <w:pPr>
        <w:spacing w:line="360" w:lineRule="auto"/>
        <w:ind w:left="2880"/>
        <w:jc w:val="both"/>
        <w:rPr>
          <w:rFonts w:ascii="Bookman Old Style" w:eastAsia="Times New Roman" w:hAnsi="Bookman Old Style" w:cs="Times New Roman"/>
          <w:sz w:val="24"/>
          <w:szCs w:val="24"/>
        </w:rPr>
      </w:pPr>
      <w:r w:rsidRPr="00690309">
        <w:rPr>
          <w:rFonts w:ascii="Bookman Old Style" w:eastAsia="Times New Roman" w:hAnsi="Bookman Old Style" w:cs="Times New Roman"/>
          <w:sz w:val="24"/>
          <w:szCs w:val="24"/>
        </w:rPr>
        <w:t>Γεωργίου Β. Δελή, υπ. ΔΝ Ειρηνοδίκη Αθηνών.</w:t>
      </w:r>
    </w:p>
    <w:p w:rsidR="00E00EE3" w:rsidRPr="00E00EE3" w:rsidRDefault="00E00EE3" w:rsidP="00690309">
      <w:pPr>
        <w:spacing w:line="360" w:lineRule="auto"/>
        <w:jc w:val="both"/>
        <w:rPr>
          <w:rFonts w:ascii="Bookman Old Style" w:eastAsia="Times New Roman" w:hAnsi="Bookman Old Style" w:cs="Times New Roman"/>
          <w:sz w:val="24"/>
          <w:szCs w:val="24"/>
        </w:rPr>
      </w:pPr>
    </w:p>
    <w:p w:rsidR="00651296" w:rsidRPr="00690309" w:rsidRDefault="00C9797E" w:rsidP="00690309">
      <w:pPr>
        <w:spacing w:line="360" w:lineRule="auto"/>
        <w:ind w:firstLine="720"/>
        <w:jc w:val="both"/>
        <w:rPr>
          <w:rFonts w:ascii="Bookman Old Style" w:eastAsia="Times New Roman" w:hAnsi="Bookman Old Style" w:cs="Times New Roman"/>
          <w:sz w:val="24"/>
          <w:szCs w:val="24"/>
        </w:rPr>
      </w:pPr>
      <w:r w:rsidRPr="00690309">
        <w:rPr>
          <w:rFonts w:ascii="Bookman Old Style" w:eastAsia="Times New Roman" w:hAnsi="Bookman Old Style" w:cs="Times New Roman"/>
          <w:sz w:val="24"/>
          <w:szCs w:val="24"/>
        </w:rPr>
        <w:t xml:space="preserve">Για την ασφαλέστερη, κατά το δυνατόν, </w:t>
      </w:r>
      <w:r w:rsidR="00BB503F" w:rsidRPr="00690309">
        <w:rPr>
          <w:rFonts w:ascii="Bookman Old Style" w:eastAsia="Times New Roman" w:hAnsi="Bookman Old Style" w:cs="Times New Roman"/>
          <w:sz w:val="24"/>
          <w:szCs w:val="24"/>
        </w:rPr>
        <w:t>προσέγγιση</w:t>
      </w:r>
      <w:r w:rsidRPr="00690309">
        <w:rPr>
          <w:rFonts w:ascii="Bookman Old Style" w:eastAsia="Times New Roman" w:hAnsi="Bookman Old Style" w:cs="Times New Roman"/>
          <w:sz w:val="24"/>
          <w:szCs w:val="24"/>
        </w:rPr>
        <w:t xml:space="preserve"> του Δικαίου των ήσσονος αξίας διαφορών, </w:t>
      </w:r>
      <w:r w:rsidR="00D021B7" w:rsidRPr="00690309">
        <w:rPr>
          <w:rFonts w:ascii="Bookman Old Style" w:eastAsia="Times New Roman" w:hAnsi="Bookman Old Style" w:cs="Times New Roman"/>
          <w:sz w:val="24"/>
          <w:szCs w:val="24"/>
        </w:rPr>
        <w:t xml:space="preserve">ενόψει και της επικείμενης </w:t>
      </w:r>
      <w:r w:rsidR="00D9201B" w:rsidRPr="00690309">
        <w:rPr>
          <w:rFonts w:ascii="Bookman Old Style" w:eastAsia="Times New Roman" w:hAnsi="Bookman Old Style" w:cs="Times New Roman"/>
          <w:sz w:val="24"/>
          <w:szCs w:val="24"/>
        </w:rPr>
        <w:t>υποχρεωτικής υπαγωγής στη διαδικασία της διαμεσολάβησης</w:t>
      </w:r>
      <w:r w:rsidR="00B234C1" w:rsidRPr="00690309">
        <w:rPr>
          <w:rFonts w:ascii="Bookman Old Style" w:eastAsia="Times New Roman" w:hAnsi="Bookman Old Style" w:cs="Times New Roman"/>
          <w:sz w:val="24"/>
          <w:szCs w:val="24"/>
        </w:rPr>
        <w:t>, που εισήχθη στην χώρα μας με τον ν. 4512/2018</w:t>
      </w:r>
      <w:r w:rsidR="00B234C1" w:rsidRPr="00690309">
        <w:rPr>
          <w:rStyle w:val="FootnoteReference"/>
          <w:rFonts w:ascii="Bookman Old Style" w:eastAsia="Times New Roman" w:hAnsi="Bookman Old Style" w:cs="Times New Roman"/>
          <w:sz w:val="24"/>
          <w:szCs w:val="24"/>
        </w:rPr>
        <w:footnoteReference w:id="2"/>
      </w:r>
      <w:r w:rsidR="00B234C1" w:rsidRPr="00690309">
        <w:rPr>
          <w:rFonts w:ascii="Bookman Old Style" w:eastAsia="Times New Roman" w:hAnsi="Bookman Old Style" w:cs="Times New Roman"/>
          <w:sz w:val="24"/>
          <w:szCs w:val="24"/>
        </w:rPr>
        <w:t xml:space="preserve"> και αναμένεται η έναρξή της από 30.11.2019, </w:t>
      </w:r>
      <w:r w:rsidRPr="00690309">
        <w:rPr>
          <w:rFonts w:ascii="Bookman Old Style" w:eastAsia="Times New Roman" w:hAnsi="Bookman Old Style" w:cs="Times New Roman"/>
          <w:sz w:val="24"/>
          <w:szCs w:val="24"/>
        </w:rPr>
        <w:t>επιχειρήθηκε μι</w:t>
      </w:r>
      <w:r w:rsidR="00651296" w:rsidRPr="00690309">
        <w:rPr>
          <w:rFonts w:ascii="Bookman Old Style" w:eastAsia="Times New Roman" w:hAnsi="Bookman Old Style" w:cs="Times New Roman"/>
          <w:sz w:val="24"/>
          <w:szCs w:val="24"/>
        </w:rPr>
        <w:t>α γρήγορη</w:t>
      </w:r>
      <w:r w:rsidR="003619C0" w:rsidRPr="00690309">
        <w:rPr>
          <w:rFonts w:ascii="Bookman Old Style" w:eastAsia="Times New Roman" w:hAnsi="Bookman Old Style" w:cs="Times New Roman"/>
          <w:sz w:val="24"/>
          <w:szCs w:val="24"/>
        </w:rPr>
        <w:t>, συγκριτική προσέγγισ</w:t>
      </w:r>
      <w:r w:rsidR="00B234C1" w:rsidRPr="00690309">
        <w:rPr>
          <w:rFonts w:ascii="Bookman Old Style" w:eastAsia="Times New Roman" w:hAnsi="Bookman Old Style" w:cs="Times New Roman"/>
          <w:sz w:val="24"/>
          <w:szCs w:val="24"/>
        </w:rPr>
        <w:t>η</w:t>
      </w:r>
      <w:r w:rsidR="003619C0" w:rsidRPr="00690309">
        <w:rPr>
          <w:rFonts w:ascii="Bookman Old Style" w:eastAsia="Times New Roman" w:hAnsi="Bookman Old Style" w:cs="Times New Roman"/>
          <w:sz w:val="24"/>
          <w:szCs w:val="24"/>
        </w:rPr>
        <w:t xml:space="preserve"> </w:t>
      </w:r>
      <w:r w:rsidRPr="00690309">
        <w:rPr>
          <w:rFonts w:ascii="Bookman Old Style" w:eastAsia="Times New Roman" w:hAnsi="Bookman Old Style" w:cs="Times New Roman"/>
          <w:sz w:val="24"/>
          <w:szCs w:val="24"/>
        </w:rPr>
        <w:t>στα κράτη μέλη της Ε.Ε.</w:t>
      </w:r>
      <w:r w:rsidR="00651296" w:rsidRPr="00690309">
        <w:rPr>
          <w:rFonts w:ascii="Bookman Old Style" w:eastAsia="Times New Roman" w:hAnsi="Bookman Old Style" w:cs="Times New Roman"/>
          <w:sz w:val="24"/>
          <w:szCs w:val="24"/>
        </w:rPr>
        <w:t xml:space="preserve">, </w:t>
      </w:r>
      <w:r w:rsidR="00F258BC" w:rsidRPr="00690309">
        <w:rPr>
          <w:rFonts w:ascii="Bookman Old Style" w:eastAsia="Times New Roman" w:hAnsi="Bookman Old Style" w:cs="Times New Roman"/>
          <w:sz w:val="24"/>
          <w:szCs w:val="24"/>
        </w:rPr>
        <w:t xml:space="preserve">οι δε πληροφορίες αντλήθηκαν, σπερματικά, από το «Πράσινο Βιβλίο για </w:t>
      </w:r>
      <w:r w:rsidR="00346644">
        <w:rPr>
          <w:rFonts w:ascii="Bookman Old Style" w:eastAsia="Times New Roman" w:hAnsi="Bookman Old Style" w:cs="Times New Roman"/>
          <w:sz w:val="24"/>
          <w:szCs w:val="24"/>
        </w:rPr>
        <w:t xml:space="preserve">τη </w:t>
      </w:r>
      <w:r w:rsidR="00F258BC" w:rsidRPr="00690309">
        <w:rPr>
          <w:rFonts w:ascii="Bookman Old Style" w:eastAsia="Times New Roman" w:hAnsi="Bookman Old Style" w:cs="Times New Roman"/>
          <w:sz w:val="24"/>
          <w:szCs w:val="24"/>
        </w:rPr>
        <w:t>διαδικασία έ</w:t>
      </w:r>
      <w:r w:rsidR="005D23AE" w:rsidRPr="00690309">
        <w:rPr>
          <w:rFonts w:ascii="Bookman Old Style" w:eastAsia="Times New Roman" w:hAnsi="Bookman Old Style" w:cs="Times New Roman"/>
          <w:sz w:val="24"/>
          <w:szCs w:val="24"/>
        </w:rPr>
        <w:t>κ</w:t>
      </w:r>
      <w:r w:rsidR="00F258BC" w:rsidRPr="00690309">
        <w:rPr>
          <w:rFonts w:ascii="Bookman Old Style" w:eastAsia="Times New Roman" w:hAnsi="Bookman Old Style" w:cs="Times New Roman"/>
          <w:sz w:val="24"/>
          <w:szCs w:val="24"/>
        </w:rPr>
        <w:t>δοσης Ευρωπαϊκής διαταγής πληρωμής και μέτρα απλούστευσης και επιτάχυνσης της εκδίκασης των μικροδιαφορών»</w:t>
      </w:r>
      <w:r w:rsidR="00F258BC" w:rsidRPr="00690309">
        <w:rPr>
          <w:rStyle w:val="FootnoteReference"/>
          <w:rFonts w:ascii="Bookman Old Style" w:eastAsia="Times New Roman" w:hAnsi="Bookman Old Style" w:cs="Times New Roman"/>
          <w:sz w:val="24"/>
          <w:szCs w:val="24"/>
        </w:rPr>
        <w:footnoteReference w:id="3"/>
      </w:r>
      <w:r w:rsidR="00F258BC" w:rsidRPr="00690309">
        <w:rPr>
          <w:rFonts w:ascii="Bookman Old Style" w:eastAsia="Times New Roman" w:hAnsi="Bookman Old Style" w:cs="Times New Roman"/>
          <w:sz w:val="24"/>
          <w:szCs w:val="24"/>
        </w:rPr>
        <w:t xml:space="preserve"> της Επιτροπής, έτους 2002, που βρίσκονται, επικαιροποιημένες και προσβάσιμες σε όλους, στο διαδικτυακό τόπο «https://e-justice.europa.eu/»</w:t>
      </w:r>
      <w:r w:rsidR="00651296" w:rsidRPr="00690309">
        <w:rPr>
          <w:rFonts w:ascii="Bookman Old Style" w:eastAsia="Times New Roman" w:hAnsi="Bookman Old Style" w:cs="Times New Roman"/>
          <w:sz w:val="24"/>
          <w:szCs w:val="24"/>
        </w:rPr>
        <w:t>.</w:t>
      </w:r>
    </w:p>
    <w:p w:rsidR="00651296" w:rsidRPr="00690309" w:rsidRDefault="00651296" w:rsidP="00690309">
      <w:pPr>
        <w:spacing w:line="360" w:lineRule="auto"/>
        <w:ind w:firstLine="720"/>
        <w:jc w:val="both"/>
        <w:rPr>
          <w:rFonts w:ascii="Bookman Old Style" w:eastAsia="Times New Roman" w:hAnsi="Bookman Old Style" w:cs="Times New Roman"/>
          <w:sz w:val="24"/>
          <w:szCs w:val="24"/>
        </w:rPr>
      </w:pPr>
      <w:r w:rsidRPr="00690309">
        <w:rPr>
          <w:rFonts w:ascii="Bookman Old Style" w:eastAsia="Times New Roman" w:hAnsi="Bookman Old Style" w:cs="Times New Roman"/>
          <w:sz w:val="24"/>
          <w:szCs w:val="24"/>
        </w:rPr>
        <w:t xml:space="preserve">Η ανάγκη αυτή </w:t>
      </w:r>
      <w:r w:rsidR="000B6830" w:rsidRPr="00690309">
        <w:rPr>
          <w:rFonts w:ascii="Bookman Old Style" w:eastAsia="Times New Roman" w:hAnsi="Bookman Old Style" w:cs="Times New Roman"/>
          <w:sz w:val="24"/>
          <w:szCs w:val="24"/>
        </w:rPr>
        <w:t>υπαγορεύθηκε</w:t>
      </w:r>
      <w:r w:rsidR="00D021B7" w:rsidRPr="00690309">
        <w:rPr>
          <w:rFonts w:ascii="Bookman Old Style" w:eastAsia="Times New Roman" w:hAnsi="Bookman Old Style" w:cs="Times New Roman"/>
          <w:sz w:val="24"/>
          <w:szCs w:val="24"/>
        </w:rPr>
        <w:t xml:space="preserve">, </w:t>
      </w:r>
      <w:r w:rsidR="00D9201B" w:rsidRPr="00690309">
        <w:rPr>
          <w:rFonts w:ascii="Bookman Old Style" w:eastAsia="Times New Roman" w:hAnsi="Bookman Old Style" w:cs="Times New Roman"/>
          <w:sz w:val="24"/>
          <w:szCs w:val="24"/>
        </w:rPr>
        <w:t>επιπλέον</w:t>
      </w:r>
      <w:r w:rsidR="00D021B7" w:rsidRPr="00690309">
        <w:rPr>
          <w:rFonts w:ascii="Bookman Old Style" w:eastAsia="Times New Roman" w:hAnsi="Bookman Old Style" w:cs="Times New Roman"/>
          <w:sz w:val="24"/>
          <w:szCs w:val="24"/>
        </w:rPr>
        <w:t>, και</w:t>
      </w:r>
      <w:r w:rsidR="000B6830" w:rsidRPr="00690309">
        <w:rPr>
          <w:rFonts w:ascii="Bookman Old Style" w:eastAsia="Times New Roman" w:hAnsi="Bookman Old Style" w:cs="Times New Roman"/>
          <w:sz w:val="24"/>
          <w:szCs w:val="24"/>
        </w:rPr>
        <w:t xml:space="preserve"> από τη</w:t>
      </w:r>
      <w:r w:rsidR="00566959" w:rsidRPr="00690309">
        <w:rPr>
          <w:rFonts w:ascii="Bookman Old Style" w:eastAsia="Times New Roman" w:hAnsi="Bookman Old Style" w:cs="Times New Roman"/>
          <w:sz w:val="24"/>
          <w:szCs w:val="24"/>
        </w:rPr>
        <w:t xml:space="preserve"> διαπίστωση ότι </w:t>
      </w:r>
      <w:r w:rsidR="00EB57B9" w:rsidRPr="00690309">
        <w:rPr>
          <w:rFonts w:ascii="Bookman Old Style" w:eastAsia="Times New Roman" w:hAnsi="Bookman Old Style" w:cs="Times New Roman"/>
          <w:sz w:val="24"/>
          <w:szCs w:val="24"/>
        </w:rPr>
        <w:t>μετά την</w:t>
      </w:r>
      <w:r w:rsidR="00861BFE" w:rsidRPr="00690309">
        <w:rPr>
          <w:rFonts w:ascii="Bookman Old Style" w:eastAsia="Times New Roman" w:hAnsi="Bookman Old Style" w:cs="Times New Roman"/>
          <w:sz w:val="24"/>
          <w:szCs w:val="24"/>
        </w:rPr>
        <w:t xml:space="preserve"> </w:t>
      </w:r>
      <w:r w:rsidR="00A15BB1" w:rsidRPr="00690309">
        <w:rPr>
          <w:rFonts w:ascii="Bookman Old Style" w:eastAsia="Times New Roman" w:hAnsi="Bookman Old Style" w:cs="Times New Roman"/>
          <w:sz w:val="24"/>
          <w:szCs w:val="24"/>
        </w:rPr>
        <w:t>ο</w:t>
      </w:r>
      <w:r w:rsidR="00FC5E19" w:rsidRPr="00690309">
        <w:rPr>
          <w:rFonts w:ascii="Bookman Old Style" w:eastAsia="Times New Roman" w:hAnsi="Bookman Old Style" w:cs="Times New Roman"/>
          <w:sz w:val="24"/>
          <w:szCs w:val="24"/>
        </w:rPr>
        <w:t xml:space="preserve">λική αναδόμηση </w:t>
      </w:r>
      <w:r w:rsidR="000B6830" w:rsidRPr="00690309">
        <w:rPr>
          <w:rFonts w:ascii="Bookman Old Style" w:eastAsia="Times New Roman" w:hAnsi="Bookman Old Style" w:cs="Times New Roman"/>
          <w:sz w:val="24"/>
          <w:szCs w:val="24"/>
        </w:rPr>
        <w:t>της τακτικής διαδικασίας που επήλθε με τον ν. 4335/2015</w:t>
      </w:r>
      <w:r w:rsidR="00EB57B9" w:rsidRPr="00690309">
        <w:rPr>
          <w:rFonts w:ascii="Bookman Old Style" w:eastAsia="Times New Roman" w:hAnsi="Bookman Old Style" w:cs="Times New Roman"/>
          <w:sz w:val="24"/>
          <w:szCs w:val="24"/>
        </w:rPr>
        <w:t xml:space="preserve"> στην ημεδαπή,</w:t>
      </w:r>
      <w:r w:rsidR="00370FEA" w:rsidRPr="00690309">
        <w:rPr>
          <w:rFonts w:ascii="Bookman Old Style" w:eastAsia="Times New Roman" w:hAnsi="Bookman Old Style" w:cs="Times New Roman"/>
          <w:sz w:val="24"/>
          <w:szCs w:val="24"/>
        </w:rPr>
        <w:t xml:space="preserve"> </w:t>
      </w:r>
      <w:r w:rsidR="00EB57B9" w:rsidRPr="00690309">
        <w:rPr>
          <w:rFonts w:ascii="Bookman Old Style" w:eastAsia="Times New Roman" w:hAnsi="Bookman Old Style" w:cs="Times New Roman"/>
          <w:sz w:val="24"/>
          <w:szCs w:val="24"/>
        </w:rPr>
        <w:t>οι μικροδιαφορές</w:t>
      </w:r>
      <w:r w:rsidR="00110901" w:rsidRPr="00690309">
        <w:rPr>
          <w:rFonts w:ascii="Bookman Old Style" w:eastAsia="Times New Roman" w:hAnsi="Bookman Old Style" w:cs="Times New Roman"/>
          <w:sz w:val="24"/>
          <w:szCs w:val="24"/>
        </w:rPr>
        <w:t>, ιδίως κατόπιν αναβολή</w:t>
      </w:r>
      <w:r w:rsidR="00F0627F">
        <w:rPr>
          <w:rFonts w:ascii="Bookman Old Style" w:eastAsia="Times New Roman" w:hAnsi="Bookman Old Style" w:cs="Times New Roman"/>
          <w:sz w:val="24"/>
          <w:szCs w:val="24"/>
        </w:rPr>
        <w:t>ς</w:t>
      </w:r>
      <w:r w:rsidR="00110901" w:rsidRPr="00690309">
        <w:rPr>
          <w:rFonts w:ascii="Bookman Old Style" w:eastAsia="Times New Roman" w:hAnsi="Bookman Old Style" w:cs="Times New Roman"/>
          <w:sz w:val="24"/>
          <w:szCs w:val="24"/>
        </w:rPr>
        <w:t xml:space="preserve"> της πρώτης συζήτησης,</w:t>
      </w:r>
      <w:r w:rsidR="00EB57B9" w:rsidRPr="00690309">
        <w:rPr>
          <w:rFonts w:ascii="Bookman Old Style" w:eastAsia="Times New Roman" w:hAnsi="Bookman Old Style" w:cs="Times New Roman"/>
          <w:sz w:val="24"/>
          <w:szCs w:val="24"/>
        </w:rPr>
        <w:t xml:space="preserve"> βραδύνουν σε σχέση με τις υποθέσεις της νέας τακτικής διαδικασίας,</w:t>
      </w:r>
      <w:r w:rsidR="00370FEA" w:rsidRPr="00690309">
        <w:rPr>
          <w:rFonts w:ascii="Bookman Old Style" w:eastAsia="Times New Roman" w:hAnsi="Bookman Old Style" w:cs="Times New Roman"/>
          <w:sz w:val="24"/>
          <w:szCs w:val="24"/>
        </w:rPr>
        <w:t xml:space="preserve"> παρά την σημαντική, σε όγκο, ύλη τους</w:t>
      </w:r>
      <w:r w:rsidR="00001C81" w:rsidRPr="00690309">
        <w:rPr>
          <w:rStyle w:val="FootnoteReference"/>
          <w:rFonts w:ascii="Bookman Old Style" w:eastAsia="Times New Roman" w:hAnsi="Bookman Old Style" w:cs="Times New Roman"/>
          <w:sz w:val="24"/>
          <w:szCs w:val="24"/>
        </w:rPr>
        <w:footnoteReference w:id="4"/>
      </w:r>
      <w:r w:rsidR="00110901" w:rsidRPr="00690309">
        <w:rPr>
          <w:rFonts w:ascii="Bookman Old Style" w:eastAsia="Times New Roman" w:hAnsi="Bookman Old Style" w:cs="Times New Roman"/>
          <w:sz w:val="24"/>
          <w:szCs w:val="24"/>
        </w:rPr>
        <w:t xml:space="preserve"> και το γενικότερο συμφέρον που υπηρετεί η</w:t>
      </w:r>
      <w:r w:rsidR="00110901" w:rsidRPr="00690309">
        <w:rPr>
          <w:rFonts w:ascii="Bookman Old Style" w:hAnsi="Bookman Old Style" w:cs="Times New Roman"/>
          <w:sz w:val="24"/>
          <w:szCs w:val="24"/>
        </w:rPr>
        <w:t xml:space="preserve"> ταχεία εκκαθάρισή τους</w:t>
      </w:r>
      <w:r w:rsidR="00110901" w:rsidRPr="00690309">
        <w:rPr>
          <w:rStyle w:val="FootnoteReference"/>
          <w:rFonts w:ascii="Bookman Old Style" w:hAnsi="Bookman Old Style" w:cs="Times New Roman"/>
          <w:sz w:val="24"/>
          <w:szCs w:val="24"/>
        </w:rPr>
        <w:footnoteReference w:id="5"/>
      </w:r>
      <w:r w:rsidR="002B1059" w:rsidRPr="00690309">
        <w:rPr>
          <w:rFonts w:ascii="Bookman Old Style" w:eastAsia="Times New Roman" w:hAnsi="Bookman Old Style" w:cs="Times New Roman"/>
          <w:sz w:val="24"/>
          <w:szCs w:val="24"/>
        </w:rPr>
        <w:t>. Εφόσον, όμως, θεωρία</w:t>
      </w:r>
      <w:r w:rsidR="002B1059" w:rsidRPr="00690309">
        <w:rPr>
          <w:rFonts w:ascii="Bookman Old Style" w:eastAsia="Times New Roman" w:hAnsi="Bookman Old Style" w:cs="Times New Roman"/>
          <w:sz w:val="24"/>
          <w:szCs w:val="24"/>
          <w:vertAlign w:val="superscript"/>
        </w:rPr>
        <w:footnoteReference w:id="6"/>
      </w:r>
      <w:r w:rsidR="002B1059" w:rsidRPr="00690309">
        <w:rPr>
          <w:rFonts w:ascii="Bookman Old Style" w:eastAsia="Times New Roman" w:hAnsi="Bookman Old Style" w:cs="Times New Roman"/>
          <w:sz w:val="24"/>
          <w:szCs w:val="24"/>
          <w:vertAlign w:val="superscript"/>
        </w:rPr>
        <w:t xml:space="preserve"> </w:t>
      </w:r>
      <w:r w:rsidR="002B1059" w:rsidRPr="00690309">
        <w:rPr>
          <w:rFonts w:ascii="Bookman Old Style" w:eastAsia="Times New Roman" w:hAnsi="Bookman Old Style" w:cs="Times New Roman"/>
          <w:sz w:val="24"/>
          <w:szCs w:val="24"/>
        </w:rPr>
        <w:t>και νομολογία</w:t>
      </w:r>
      <w:r w:rsidR="002B1059" w:rsidRPr="00690309">
        <w:rPr>
          <w:rFonts w:ascii="Bookman Old Style" w:eastAsia="Times New Roman" w:hAnsi="Bookman Old Style" w:cs="Times New Roman"/>
          <w:sz w:val="24"/>
          <w:szCs w:val="24"/>
          <w:vertAlign w:val="superscript"/>
        </w:rPr>
        <w:footnoteReference w:id="7"/>
      </w:r>
      <w:r w:rsidR="002B1059" w:rsidRPr="00690309">
        <w:rPr>
          <w:rFonts w:ascii="Bookman Old Style" w:eastAsia="Times New Roman" w:hAnsi="Bookman Old Style" w:cs="Times New Roman"/>
          <w:sz w:val="24"/>
          <w:szCs w:val="24"/>
        </w:rPr>
        <w:t xml:space="preserve">, ομοφωνούν ότι ανήκουν στην </w:t>
      </w:r>
      <w:r w:rsidR="00E738E9" w:rsidRPr="00690309">
        <w:rPr>
          <w:rFonts w:ascii="Bookman Old Style" w:eastAsia="Times New Roman" w:hAnsi="Bookman Old Style" w:cs="Times New Roman"/>
          <w:sz w:val="24"/>
          <w:szCs w:val="24"/>
        </w:rPr>
        <w:t xml:space="preserve">ευρύτερη </w:t>
      </w:r>
      <w:r w:rsidR="002B1059" w:rsidRPr="00690309">
        <w:rPr>
          <w:rFonts w:ascii="Bookman Old Style" w:eastAsia="Times New Roman" w:hAnsi="Bookman Old Style" w:cs="Times New Roman"/>
          <w:sz w:val="24"/>
          <w:szCs w:val="24"/>
        </w:rPr>
        <w:t>οικογένεια της τακτικής</w:t>
      </w:r>
      <w:r w:rsidR="00EB57B9" w:rsidRPr="00690309">
        <w:rPr>
          <w:rFonts w:ascii="Bookman Old Style" w:eastAsia="Times New Roman" w:hAnsi="Bookman Old Style" w:cs="Times New Roman"/>
          <w:sz w:val="24"/>
          <w:szCs w:val="24"/>
        </w:rPr>
        <w:t xml:space="preserve"> διαδικασίας</w:t>
      </w:r>
      <w:r w:rsidR="002B1059" w:rsidRPr="00690309">
        <w:rPr>
          <w:rFonts w:ascii="Bookman Old Style" w:eastAsia="Times New Roman" w:hAnsi="Bookman Old Style" w:cs="Times New Roman"/>
          <w:sz w:val="24"/>
          <w:szCs w:val="24"/>
        </w:rPr>
        <w:t>,</w:t>
      </w:r>
      <w:r w:rsidR="005711CA" w:rsidRPr="00690309">
        <w:rPr>
          <w:rFonts w:ascii="Bookman Old Style" w:eastAsia="Times New Roman" w:hAnsi="Bookman Old Style" w:cs="Times New Roman"/>
          <w:sz w:val="24"/>
          <w:szCs w:val="24"/>
        </w:rPr>
        <w:t xml:space="preserve"> </w:t>
      </w:r>
      <w:r w:rsidR="00A3121B" w:rsidRPr="00690309">
        <w:rPr>
          <w:rFonts w:ascii="Bookman Old Style" w:eastAsia="Times New Roman" w:hAnsi="Bookman Old Style" w:cs="Times New Roman"/>
          <w:sz w:val="24"/>
          <w:szCs w:val="24"/>
        </w:rPr>
        <w:t xml:space="preserve">η προφορική διεξαγωγή ως πρότυπο Δίκης, </w:t>
      </w:r>
      <w:r w:rsidR="005D1DDC" w:rsidRPr="00690309">
        <w:rPr>
          <w:rFonts w:ascii="Bookman Old Style" w:eastAsia="Times New Roman" w:hAnsi="Bookman Old Style" w:cs="Times New Roman"/>
          <w:sz w:val="24"/>
          <w:szCs w:val="24"/>
        </w:rPr>
        <w:t>η ελαστικότητα</w:t>
      </w:r>
      <w:r w:rsidR="00A3121B" w:rsidRPr="00690309">
        <w:rPr>
          <w:rFonts w:ascii="Bookman Old Style" w:eastAsia="Times New Roman" w:hAnsi="Bookman Old Style" w:cs="Times New Roman"/>
          <w:sz w:val="24"/>
          <w:szCs w:val="24"/>
        </w:rPr>
        <w:t>, εν γένει,</w:t>
      </w:r>
      <w:r w:rsidR="005D1DDC" w:rsidRPr="00690309">
        <w:rPr>
          <w:rFonts w:ascii="Bookman Old Style" w:eastAsia="Times New Roman" w:hAnsi="Bookman Old Style" w:cs="Times New Roman"/>
          <w:sz w:val="24"/>
          <w:szCs w:val="24"/>
        </w:rPr>
        <w:t xml:space="preserve"> της διαδικασίας, ο </w:t>
      </w:r>
      <w:r w:rsidR="005D1DDC" w:rsidRPr="00690309">
        <w:rPr>
          <w:rFonts w:ascii="Bookman Old Style" w:eastAsia="Times New Roman" w:hAnsi="Bookman Old Style" w:cs="Times New Roman"/>
          <w:sz w:val="24"/>
          <w:szCs w:val="24"/>
        </w:rPr>
        <w:lastRenderedPageBreak/>
        <w:t>περιορισμός εχεγγύων απόδειξης, εκκλητού κ.ο.κ., που χαρακτηρίζει τις μικροδιαφορές και διατηρήθηκε σε ισχύ με το ν. 4335/2015</w:t>
      </w:r>
      <w:r w:rsidR="00A3121B" w:rsidRPr="00690309">
        <w:rPr>
          <w:rStyle w:val="FootnoteReference"/>
          <w:rFonts w:ascii="Bookman Old Style" w:eastAsia="Times New Roman" w:hAnsi="Bookman Old Style" w:cs="Times New Roman"/>
          <w:sz w:val="24"/>
          <w:szCs w:val="24"/>
        </w:rPr>
        <w:footnoteReference w:id="8"/>
      </w:r>
      <w:r w:rsidR="005D1DDC" w:rsidRPr="00690309">
        <w:rPr>
          <w:rFonts w:ascii="Bookman Old Style" w:eastAsia="Times New Roman" w:hAnsi="Bookman Old Style" w:cs="Times New Roman"/>
          <w:sz w:val="24"/>
          <w:szCs w:val="24"/>
        </w:rPr>
        <w:t xml:space="preserve">, </w:t>
      </w:r>
      <w:r w:rsidR="00A3121B" w:rsidRPr="00690309">
        <w:rPr>
          <w:rFonts w:ascii="Bookman Old Style" w:eastAsia="Times New Roman" w:hAnsi="Bookman Old Style" w:cs="Times New Roman"/>
          <w:sz w:val="24"/>
          <w:szCs w:val="24"/>
        </w:rPr>
        <w:t>θα</w:t>
      </w:r>
      <w:r w:rsidR="000C7455" w:rsidRPr="00690309">
        <w:rPr>
          <w:rFonts w:ascii="Bookman Old Style" w:eastAsia="Times New Roman" w:hAnsi="Bookman Old Style" w:cs="Times New Roman"/>
          <w:sz w:val="24"/>
          <w:szCs w:val="24"/>
        </w:rPr>
        <w:t xml:space="preserve"> έπρεπε να οδηγεί, κατά κανόνα, σε </w:t>
      </w:r>
      <w:r w:rsidR="00870C7D" w:rsidRPr="00690309">
        <w:rPr>
          <w:rFonts w:ascii="Bookman Old Style" w:eastAsia="Times New Roman" w:hAnsi="Bookman Old Style" w:cs="Times New Roman"/>
          <w:sz w:val="24"/>
          <w:szCs w:val="24"/>
        </w:rPr>
        <w:t xml:space="preserve">ταχύτερο χρόνο έκδοσης απόφασης. </w:t>
      </w:r>
      <w:r w:rsidR="005711CA" w:rsidRPr="00690309">
        <w:rPr>
          <w:rFonts w:ascii="Bookman Old Style" w:eastAsia="Times New Roman" w:hAnsi="Bookman Old Style" w:cs="Times New Roman"/>
          <w:sz w:val="24"/>
          <w:szCs w:val="24"/>
        </w:rPr>
        <w:t>Αντίστοιχα φαινόμενα</w:t>
      </w:r>
      <w:r w:rsidR="002B1059" w:rsidRPr="00690309">
        <w:rPr>
          <w:rFonts w:ascii="Bookman Old Style" w:eastAsia="Times New Roman" w:hAnsi="Bookman Old Style" w:cs="Times New Roman"/>
          <w:sz w:val="24"/>
          <w:szCs w:val="24"/>
        </w:rPr>
        <w:t xml:space="preserve"> </w:t>
      </w:r>
      <w:r w:rsidR="003B38F4" w:rsidRPr="00690309">
        <w:rPr>
          <w:rFonts w:ascii="Bookman Old Style" w:eastAsia="Times New Roman" w:hAnsi="Bookman Old Style" w:cs="Times New Roman"/>
          <w:sz w:val="24"/>
          <w:szCs w:val="24"/>
        </w:rPr>
        <w:t xml:space="preserve">βραδύτητας </w:t>
      </w:r>
      <w:r w:rsidR="003B38F4" w:rsidRPr="00690309">
        <w:rPr>
          <w:rFonts w:ascii="Bookman Old Style" w:hAnsi="Bookman Old Style" w:cs="Times New Roman"/>
          <w:sz w:val="24"/>
          <w:szCs w:val="24"/>
        </w:rPr>
        <w:t>των ήσσονος αξίας ιδιωτικών διαφορών</w:t>
      </w:r>
      <w:r w:rsidR="003B38F4" w:rsidRPr="00690309">
        <w:rPr>
          <w:rFonts w:ascii="Bookman Old Style" w:eastAsia="Times New Roman" w:hAnsi="Bookman Old Style" w:cs="Times New Roman"/>
          <w:sz w:val="24"/>
          <w:szCs w:val="24"/>
        </w:rPr>
        <w:t xml:space="preserve"> </w:t>
      </w:r>
      <w:r w:rsidR="002B1059" w:rsidRPr="00690309">
        <w:rPr>
          <w:rFonts w:ascii="Bookman Old Style" w:eastAsia="Times New Roman" w:hAnsi="Bookman Old Style" w:cs="Times New Roman"/>
          <w:sz w:val="24"/>
          <w:szCs w:val="24"/>
        </w:rPr>
        <w:t>δεν είναι άγνωστ</w:t>
      </w:r>
      <w:r w:rsidR="005711CA" w:rsidRPr="00690309">
        <w:rPr>
          <w:rFonts w:ascii="Bookman Old Style" w:eastAsia="Times New Roman" w:hAnsi="Bookman Old Style" w:cs="Times New Roman"/>
          <w:sz w:val="24"/>
          <w:szCs w:val="24"/>
        </w:rPr>
        <w:t>α</w:t>
      </w:r>
      <w:r w:rsidR="002B1059" w:rsidRPr="00690309">
        <w:rPr>
          <w:rFonts w:ascii="Bookman Old Style" w:eastAsia="Times New Roman" w:hAnsi="Bookman Old Style" w:cs="Times New Roman"/>
          <w:sz w:val="24"/>
          <w:szCs w:val="24"/>
        </w:rPr>
        <w:t xml:space="preserve"> στον Ευρωπαϊκό χώρο, </w:t>
      </w:r>
      <w:r w:rsidR="00EB74AA" w:rsidRPr="00690309">
        <w:rPr>
          <w:rFonts w:ascii="Bookman Old Style" w:eastAsia="Times New Roman" w:hAnsi="Bookman Old Style" w:cs="Times New Roman"/>
          <w:sz w:val="24"/>
          <w:szCs w:val="24"/>
        </w:rPr>
        <w:t>παρατηρήθηκαν, δε,</w:t>
      </w:r>
      <w:r w:rsidR="00E738E9" w:rsidRPr="00690309">
        <w:rPr>
          <w:rFonts w:ascii="Bookman Old Style" w:eastAsia="Times New Roman" w:hAnsi="Bookman Old Style" w:cs="Times New Roman"/>
          <w:sz w:val="24"/>
          <w:szCs w:val="24"/>
        </w:rPr>
        <w:t xml:space="preserve"> στην Ιταλία</w:t>
      </w:r>
      <w:r w:rsidR="00AE1546" w:rsidRPr="00690309">
        <w:rPr>
          <w:rStyle w:val="FootnoteReference"/>
          <w:rFonts w:ascii="Bookman Old Style" w:eastAsia="Times New Roman" w:hAnsi="Bookman Old Style" w:cs="Times New Roman"/>
          <w:sz w:val="24"/>
          <w:szCs w:val="24"/>
        </w:rPr>
        <w:footnoteReference w:id="9"/>
      </w:r>
      <w:r w:rsidR="00E738E9" w:rsidRPr="00690309">
        <w:rPr>
          <w:rFonts w:ascii="Bookman Old Style" w:eastAsia="Times New Roman" w:hAnsi="Bookman Old Style" w:cs="Times New Roman"/>
          <w:sz w:val="24"/>
          <w:szCs w:val="24"/>
        </w:rPr>
        <w:t xml:space="preserve"> και </w:t>
      </w:r>
      <w:r w:rsidR="00D02007" w:rsidRPr="00690309">
        <w:rPr>
          <w:rFonts w:ascii="Bookman Old Style" w:eastAsia="Times New Roman" w:hAnsi="Bookman Old Style" w:cs="Times New Roman"/>
          <w:sz w:val="24"/>
          <w:szCs w:val="24"/>
        </w:rPr>
        <w:t>αντιμετωπίστηκ</w:t>
      </w:r>
      <w:r w:rsidR="005711CA" w:rsidRPr="00690309">
        <w:rPr>
          <w:rFonts w:ascii="Bookman Old Style" w:eastAsia="Times New Roman" w:hAnsi="Bookman Old Style" w:cs="Times New Roman"/>
          <w:sz w:val="24"/>
          <w:szCs w:val="24"/>
        </w:rPr>
        <w:t>αν και</w:t>
      </w:r>
      <w:r w:rsidR="00D02007" w:rsidRPr="00690309">
        <w:rPr>
          <w:rFonts w:ascii="Bookman Old Style" w:eastAsia="Times New Roman" w:hAnsi="Bookman Old Style" w:cs="Times New Roman"/>
          <w:sz w:val="24"/>
          <w:szCs w:val="24"/>
        </w:rPr>
        <w:t xml:space="preserve"> στι</w:t>
      </w:r>
      <w:r w:rsidR="00E738E9" w:rsidRPr="00690309">
        <w:rPr>
          <w:rFonts w:ascii="Bookman Old Style" w:eastAsia="Times New Roman" w:hAnsi="Bookman Old Style" w:cs="Times New Roman"/>
          <w:sz w:val="24"/>
          <w:szCs w:val="24"/>
        </w:rPr>
        <w:t>ς αστικές περιοχές της Πορτογαλίας</w:t>
      </w:r>
      <w:r w:rsidR="00D02007" w:rsidRPr="00690309">
        <w:rPr>
          <w:rStyle w:val="FootnoteReference"/>
          <w:rFonts w:ascii="Bookman Old Style" w:eastAsia="Times New Roman" w:hAnsi="Bookman Old Style" w:cs="Times New Roman"/>
          <w:sz w:val="24"/>
          <w:szCs w:val="24"/>
        </w:rPr>
        <w:footnoteReference w:id="10"/>
      </w:r>
      <w:r w:rsidR="00732E8F" w:rsidRPr="00690309">
        <w:rPr>
          <w:rFonts w:ascii="Bookman Old Style" w:eastAsia="Times New Roman" w:hAnsi="Bookman Old Style" w:cs="Times New Roman"/>
          <w:sz w:val="24"/>
          <w:szCs w:val="24"/>
        </w:rPr>
        <w:t>.</w:t>
      </w:r>
      <w:r w:rsidR="003B38F4" w:rsidRPr="00690309">
        <w:rPr>
          <w:rFonts w:ascii="Bookman Old Style" w:eastAsia="Times New Roman" w:hAnsi="Bookman Old Style" w:cs="Times New Roman"/>
          <w:sz w:val="24"/>
          <w:szCs w:val="24"/>
        </w:rPr>
        <w:t xml:space="preserve"> </w:t>
      </w:r>
    </w:p>
    <w:p w:rsidR="00EF698D" w:rsidRPr="00690309" w:rsidRDefault="00370FEA" w:rsidP="00690309">
      <w:pPr>
        <w:spacing w:line="360" w:lineRule="auto"/>
        <w:ind w:firstLine="720"/>
        <w:jc w:val="both"/>
        <w:rPr>
          <w:rFonts w:ascii="Bookman Old Style" w:hAnsi="Bookman Old Style" w:cs="Times New Roman"/>
          <w:sz w:val="24"/>
          <w:szCs w:val="24"/>
        </w:rPr>
      </w:pPr>
      <w:r w:rsidRPr="00690309">
        <w:rPr>
          <w:rFonts w:ascii="Bookman Old Style" w:eastAsia="Times New Roman" w:hAnsi="Bookman Old Style" w:cs="Times New Roman"/>
          <w:sz w:val="24"/>
          <w:szCs w:val="24"/>
        </w:rPr>
        <w:t>Η</w:t>
      </w:r>
      <w:r w:rsidR="00F258BC" w:rsidRPr="00690309">
        <w:rPr>
          <w:rFonts w:ascii="Bookman Old Style" w:eastAsia="Times New Roman" w:hAnsi="Bookman Old Style" w:cs="Times New Roman"/>
          <w:sz w:val="24"/>
          <w:szCs w:val="24"/>
        </w:rPr>
        <w:t xml:space="preserve"> απάντηση</w:t>
      </w:r>
      <w:r w:rsidRPr="00690309">
        <w:rPr>
          <w:rFonts w:ascii="Bookman Old Style" w:eastAsia="Times New Roman" w:hAnsi="Bookman Old Style" w:cs="Times New Roman"/>
          <w:sz w:val="24"/>
          <w:szCs w:val="24"/>
        </w:rPr>
        <w:t>, συνεπώς,</w:t>
      </w:r>
      <w:r w:rsidR="00F258BC" w:rsidRPr="00690309">
        <w:rPr>
          <w:rFonts w:ascii="Bookman Old Style" w:eastAsia="Times New Roman" w:hAnsi="Bookman Old Style" w:cs="Times New Roman"/>
          <w:sz w:val="24"/>
          <w:szCs w:val="24"/>
        </w:rPr>
        <w:t xml:space="preserve"> απηχεί στην εξαγωγή συμπεράσματος με διττή λειτουργία, αφε</w:t>
      </w:r>
      <w:r w:rsidR="00E336EE" w:rsidRPr="00690309">
        <w:rPr>
          <w:rFonts w:ascii="Bookman Old Style" w:eastAsia="Times New Roman" w:hAnsi="Bookman Old Style" w:cs="Times New Roman"/>
          <w:sz w:val="24"/>
          <w:szCs w:val="24"/>
        </w:rPr>
        <w:t xml:space="preserve">νός στο </w:t>
      </w:r>
      <w:r w:rsidR="004D5665" w:rsidRPr="00690309">
        <w:rPr>
          <w:rFonts w:ascii="Bookman Old Style" w:eastAsia="Times New Roman" w:hAnsi="Bookman Old Style" w:cs="Times New Roman"/>
          <w:sz w:val="24"/>
          <w:szCs w:val="24"/>
        </w:rPr>
        <w:t xml:space="preserve">πως λειτουργεί το Δίκαιο ήσσονος αξίας διαφορών στις </w:t>
      </w:r>
      <w:r w:rsidR="00D02007" w:rsidRPr="00690309">
        <w:rPr>
          <w:rFonts w:ascii="Bookman Old Style" w:eastAsia="Times New Roman" w:hAnsi="Bookman Old Style" w:cs="Times New Roman"/>
          <w:sz w:val="24"/>
          <w:szCs w:val="24"/>
        </w:rPr>
        <w:t>ευρωπαϊκές έννομες τάξεις και</w:t>
      </w:r>
      <w:r w:rsidR="004D5665" w:rsidRPr="00690309">
        <w:rPr>
          <w:rFonts w:ascii="Bookman Old Style" w:eastAsia="Times New Roman" w:hAnsi="Bookman Old Style" w:cs="Times New Roman"/>
          <w:sz w:val="24"/>
          <w:szCs w:val="24"/>
        </w:rPr>
        <w:t xml:space="preserve"> </w:t>
      </w:r>
      <w:r w:rsidR="00AC5C0C" w:rsidRPr="00690309">
        <w:rPr>
          <w:rFonts w:ascii="Bookman Old Style" w:eastAsia="Times New Roman" w:hAnsi="Bookman Old Style" w:cs="Times New Roman"/>
          <w:sz w:val="24"/>
          <w:szCs w:val="24"/>
        </w:rPr>
        <w:t>στο τι</w:t>
      </w:r>
      <w:r w:rsidR="00E336EE" w:rsidRPr="00690309">
        <w:rPr>
          <w:rFonts w:ascii="Bookman Old Style" w:eastAsia="Times New Roman" w:hAnsi="Bookman Old Style" w:cs="Times New Roman"/>
          <w:sz w:val="24"/>
          <w:szCs w:val="24"/>
        </w:rPr>
        <w:t xml:space="preserve"> μπορεί να θεωρηθεί</w:t>
      </w:r>
      <w:r w:rsidR="00F258BC" w:rsidRPr="00690309">
        <w:rPr>
          <w:rFonts w:ascii="Bookman Old Style" w:eastAsia="Times New Roman" w:hAnsi="Bookman Old Style" w:cs="Times New Roman"/>
          <w:sz w:val="24"/>
          <w:szCs w:val="24"/>
        </w:rPr>
        <w:t xml:space="preserve"> βέλτιστη πρακτική, ταχείας, απλουστευμένης και φθηνής </w:t>
      </w:r>
      <w:r w:rsidR="00D9201B" w:rsidRPr="00690309">
        <w:rPr>
          <w:rFonts w:ascii="Bookman Old Style" w:eastAsia="Times New Roman" w:hAnsi="Bookman Old Style" w:cs="Times New Roman"/>
          <w:sz w:val="24"/>
          <w:szCs w:val="24"/>
        </w:rPr>
        <w:t xml:space="preserve">δικαστικής </w:t>
      </w:r>
      <w:r w:rsidR="00F258BC" w:rsidRPr="00690309">
        <w:rPr>
          <w:rFonts w:ascii="Bookman Old Style" w:eastAsia="Times New Roman" w:hAnsi="Bookman Old Style" w:cs="Times New Roman"/>
          <w:sz w:val="24"/>
          <w:szCs w:val="24"/>
        </w:rPr>
        <w:t>διαδικασίας στο ενοποιημένο, ενωσιακό δικονομικό περιβάλλον</w:t>
      </w:r>
      <w:r w:rsidR="00F258BC" w:rsidRPr="00690309">
        <w:rPr>
          <w:rStyle w:val="FootnoteReference"/>
          <w:rFonts w:ascii="Bookman Old Style" w:eastAsia="Times New Roman" w:hAnsi="Bookman Old Style" w:cs="Times New Roman"/>
          <w:sz w:val="24"/>
          <w:szCs w:val="24"/>
        </w:rPr>
        <w:footnoteReference w:id="11"/>
      </w:r>
      <w:r w:rsidR="00F258BC" w:rsidRPr="00690309">
        <w:rPr>
          <w:rFonts w:ascii="Bookman Old Style" w:eastAsia="Times New Roman" w:hAnsi="Bookman Old Style" w:cs="Times New Roman"/>
          <w:sz w:val="24"/>
          <w:szCs w:val="24"/>
        </w:rPr>
        <w:t xml:space="preserve"> και αφετέρου στην τελολογική σύνδεσή του με τον Καν. ΕΕ 861/2007 «για την θέσπιση ευρωπαϊκης διαδικασίας μικροδιαφορών»</w:t>
      </w:r>
      <w:r w:rsidR="00F258BC" w:rsidRPr="00690309">
        <w:rPr>
          <w:rFonts w:ascii="Bookman Old Style" w:eastAsia="Times New Roman" w:hAnsi="Bookman Old Style" w:cs="Times New Roman"/>
          <w:sz w:val="24"/>
          <w:szCs w:val="24"/>
          <w:vertAlign w:val="superscript"/>
        </w:rPr>
        <w:t xml:space="preserve"> </w:t>
      </w:r>
      <w:r w:rsidR="00F258BC" w:rsidRPr="00690309">
        <w:rPr>
          <w:rFonts w:ascii="Bookman Old Style" w:eastAsia="Times New Roman" w:hAnsi="Bookman Old Style" w:cs="Times New Roman"/>
          <w:sz w:val="24"/>
          <w:szCs w:val="24"/>
          <w:vertAlign w:val="superscript"/>
        </w:rPr>
        <w:footnoteReference w:id="12"/>
      </w:r>
      <w:r w:rsidR="00F258BC" w:rsidRPr="00690309">
        <w:rPr>
          <w:rFonts w:ascii="Bookman Old Style" w:eastAsia="Times New Roman" w:hAnsi="Bookman Old Style" w:cs="Times New Roman"/>
          <w:sz w:val="24"/>
          <w:szCs w:val="24"/>
        </w:rPr>
        <w:t xml:space="preserve"> </w:t>
      </w:r>
      <w:r w:rsidR="00C864C6">
        <w:rPr>
          <w:rFonts w:ascii="Bookman Old Style" w:eastAsia="Times New Roman" w:hAnsi="Bookman Old Style" w:cs="Times New Roman"/>
          <w:sz w:val="24"/>
          <w:szCs w:val="24"/>
        </w:rPr>
        <w:t xml:space="preserve">, αλλά, </w:t>
      </w:r>
      <w:r w:rsidR="00F258BC" w:rsidRPr="00690309">
        <w:rPr>
          <w:rFonts w:ascii="Bookman Old Style" w:eastAsia="Times New Roman" w:hAnsi="Bookman Old Style" w:cs="Times New Roman"/>
          <w:sz w:val="24"/>
          <w:szCs w:val="24"/>
        </w:rPr>
        <w:t>και τον Καν. ΕΕ 1896/2006 «για την θέσπιση ευρωπαϊκής διαταγής πληρωμής»</w:t>
      </w:r>
      <w:r w:rsidR="00F258BC" w:rsidRPr="00690309">
        <w:rPr>
          <w:rFonts w:ascii="Bookman Old Style" w:hAnsi="Bookman Old Style"/>
          <w:sz w:val="24"/>
          <w:szCs w:val="24"/>
          <w:vertAlign w:val="superscript"/>
        </w:rPr>
        <w:footnoteReference w:id="13"/>
      </w:r>
      <w:r w:rsidR="00F258BC" w:rsidRPr="00690309">
        <w:rPr>
          <w:rFonts w:ascii="Bookman Old Style" w:eastAsia="Times New Roman" w:hAnsi="Bookman Old Style" w:cs="Times New Roman"/>
          <w:sz w:val="24"/>
          <w:szCs w:val="24"/>
        </w:rPr>
        <w:t xml:space="preserve"> ως τα πλέον σημαίνοντα</w:t>
      </w:r>
      <w:r w:rsidR="00F258BC" w:rsidRPr="00690309">
        <w:rPr>
          <w:rStyle w:val="FootnoteReference"/>
          <w:rFonts w:ascii="Bookman Old Style" w:eastAsia="Times New Roman" w:hAnsi="Bookman Old Style" w:cs="Times New Roman"/>
          <w:sz w:val="24"/>
          <w:szCs w:val="24"/>
        </w:rPr>
        <w:footnoteReference w:id="14"/>
      </w:r>
      <w:r w:rsidR="00F258BC" w:rsidRPr="00690309">
        <w:rPr>
          <w:rFonts w:ascii="Bookman Old Style" w:eastAsia="Times New Roman" w:hAnsi="Bookman Old Style" w:cs="Times New Roman"/>
          <w:sz w:val="24"/>
          <w:szCs w:val="24"/>
        </w:rPr>
        <w:t xml:space="preserve"> εργαλεία του παράγωγου Δικονομικού Δικαίου άμεσης εφαρμογής</w:t>
      </w:r>
      <w:r w:rsidR="00F258BC" w:rsidRPr="00690309">
        <w:rPr>
          <w:rStyle w:val="FootnoteReference"/>
          <w:rFonts w:ascii="Bookman Old Style" w:eastAsia="Times New Roman" w:hAnsi="Bookman Old Style" w:cs="Times New Roman"/>
          <w:sz w:val="24"/>
          <w:szCs w:val="24"/>
        </w:rPr>
        <w:footnoteReference w:id="15"/>
      </w:r>
      <w:r w:rsidR="00F258BC" w:rsidRPr="00690309">
        <w:rPr>
          <w:rFonts w:ascii="Bookman Old Style" w:eastAsia="Times New Roman" w:hAnsi="Bookman Old Style" w:cs="Times New Roman"/>
          <w:sz w:val="24"/>
          <w:szCs w:val="24"/>
        </w:rPr>
        <w:t xml:space="preserve">, σε υπερεθνικό – ευρωπαϊκό </w:t>
      </w:r>
      <w:r w:rsidR="00F258BC" w:rsidRPr="00690309">
        <w:rPr>
          <w:rFonts w:ascii="Bookman Old Style" w:eastAsia="Times New Roman" w:hAnsi="Bookman Old Style" w:cs="Times New Roman"/>
          <w:sz w:val="24"/>
          <w:szCs w:val="24"/>
        </w:rPr>
        <w:lastRenderedPageBreak/>
        <w:t>επίπεδο</w:t>
      </w:r>
      <w:r w:rsidR="00F258BC" w:rsidRPr="00690309">
        <w:rPr>
          <w:rFonts w:ascii="Bookman Old Style" w:eastAsia="Times New Roman" w:hAnsi="Bookman Old Style" w:cs="Times New Roman"/>
          <w:sz w:val="24"/>
          <w:szCs w:val="24"/>
          <w:vertAlign w:val="superscript"/>
        </w:rPr>
        <w:footnoteReference w:id="16"/>
      </w:r>
      <w:r w:rsidR="00F258BC" w:rsidRPr="00690309">
        <w:rPr>
          <w:rFonts w:ascii="Bookman Old Style" w:eastAsia="Times New Roman" w:hAnsi="Bookman Old Style" w:cs="Times New Roman"/>
          <w:sz w:val="24"/>
          <w:szCs w:val="24"/>
        </w:rPr>
        <w:t xml:space="preserve">. </w:t>
      </w:r>
      <w:r w:rsidR="00DC194C" w:rsidRPr="00690309">
        <w:rPr>
          <w:rFonts w:ascii="Bookman Old Style" w:eastAsia="Times New Roman" w:hAnsi="Bookman Old Style" w:cs="Times New Roman"/>
          <w:sz w:val="24"/>
          <w:szCs w:val="24"/>
        </w:rPr>
        <w:t xml:space="preserve">Επισημαίνεται, εξ αρχής, </w:t>
      </w:r>
      <w:r w:rsidR="00A14F17" w:rsidRPr="00690309">
        <w:rPr>
          <w:rFonts w:ascii="Bookman Old Style" w:eastAsia="Times New Roman" w:hAnsi="Bookman Old Style" w:cs="Times New Roman"/>
          <w:sz w:val="24"/>
          <w:szCs w:val="24"/>
        </w:rPr>
        <w:t>ότι η εκκαθάρισ</w:t>
      </w:r>
      <w:r w:rsidR="00F258BC" w:rsidRPr="00690309">
        <w:rPr>
          <w:rFonts w:ascii="Bookman Old Style" w:eastAsia="Times New Roman" w:hAnsi="Bookman Old Style" w:cs="Times New Roman"/>
          <w:sz w:val="24"/>
          <w:szCs w:val="24"/>
        </w:rPr>
        <w:t>η των ήσσονος αξίας απαιτήσεων</w:t>
      </w:r>
      <w:r w:rsidR="00A14F17" w:rsidRPr="00690309">
        <w:rPr>
          <w:rFonts w:ascii="Bookman Old Style" w:eastAsia="Times New Roman" w:hAnsi="Bookman Old Style" w:cs="Times New Roman"/>
          <w:sz w:val="24"/>
          <w:szCs w:val="24"/>
        </w:rPr>
        <w:t xml:space="preserve"> επιτυγχάνεται </w:t>
      </w:r>
      <w:r w:rsidR="00EE0CEF" w:rsidRPr="00690309">
        <w:rPr>
          <w:rFonts w:ascii="Bookman Old Style" w:eastAsia="Times New Roman" w:hAnsi="Bookman Old Style" w:cs="Times New Roman"/>
          <w:sz w:val="24"/>
          <w:szCs w:val="24"/>
        </w:rPr>
        <w:t xml:space="preserve">σε πολλά κράτη μέλη </w:t>
      </w:r>
      <w:r w:rsidR="00A14F17" w:rsidRPr="00690309">
        <w:rPr>
          <w:rFonts w:ascii="Bookman Old Style" w:eastAsia="Times New Roman" w:hAnsi="Bookman Old Style" w:cs="Times New Roman"/>
          <w:sz w:val="24"/>
          <w:szCs w:val="24"/>
        </w:rPr>
        <w:t>διαμέσου εναλλακτικών τρόπων επίλυσης διαφορών</w:t>
      </w:r>
      <w:r w:rsidR="00E336EE" w:rsidRPr="00690309">
        <w:rPr>
          <w:rStyle w:val="FootnoteReference"/>
          <w:rFonts w:ascii="Bookman Old Style" w:eastAsia="Times New Roman" w:hAnsi="Bookman Old Style" w:cs="Times New Roman"/>
          <w:sz w:val="24"/>
          <w:szCs w:val="24"/>
        </w:rPr>
        <w:footnoteReference w:id="17"/>
      </w:r>
      <w:r w:rsidR="00A14F17" w:rsidRPr="00690309">
        <w:rPr>
          <w:rFonts w:ascii="Bookman Old Style" w:eastAsia="Times New Roman" w:hAnsi="Bookman Old Style" w:cs="Times New Roman"/>
          <w:sz w:val="24"/>
          <w:szCs w:val="24"/>
        </w:rPr>
        <w:t xml:space="preserve">, </w:t>
      </w:r>
      <w:r w:rsidR="008A27B9" w:rsidRPr="00690309">
        <w:rPr>
          <w:rFonts w:ascii="Bookman Old Style" w:eastAsia="Times New Roman" w:hAnsi="Bookman Old Style" w:cs="Times New Roman"/>
          <w:sz w:val="24"/>
          <w:szCs w:val="24"/>
        </w:rPr>
        <w:t xml:space="preserve">ενώ, </w:t>
      </w:r>
      <w:r w:rsidR="00846C90" w:rsidRPr="00690309">
        <w:rPr>
          <w:rFonts w:ascii="Bookman Old Style" w:eastAsia="Times New Roman" w:hAnsi="Bookman Old Style" w:cs="Times New Roman"/>
          <w:sz w:val="24"/>
          <w:szCs w:val="24"/>
        </w:rPr>
        <w:t xml:space="preserve">και </w:t>
      </w:r>
      <w:r w:rsidR="00A14F17" w:rsidRPr="00690309">
        <w:rPr>
          <w:rFonts w:ascii="Bookman Old Style" w:eastAsia="Times New Roman" w:hAnsi="Bookman Old Style" w:cs="Times New Roman"/>
          <w:sz w:val="24"/>
          <w:szCs w:val="24"/>
        </w:rPr>
        <w:t xml:space="preserve">η «διαταγή πληρωμής για μη αμφισβητούμενες </w:t>
      </w:r>
      <w:r w:rsidR="0030147F">
        <w:rPr>
          <w:rFonts w:ascii="Bookman Old Style" w:eastAsia="Times New Roman" w:hAnsi="Bookman Old Style" w:cs="Times New Roman"/>
          <w:sz w:val="24"/>
          <w:szCs w:val="24"/>
        </w:rPr>
        <w:t>απαιτήσεις</w:t>
      </w:r>
      <w:r w:rsidR="008A27B9" w:rsidRPr="00690309">
        <w:rPr>
          <w:rFonts w:ascii="Bookman Old Style" w:eastAsia="Times New Roman" w:hAnsi="Bookman Old Style" w:cs="Times New Roman"/>
          <w:sz w:val="24"/>
          <w:szCs w:val="24"/>
        </w:rPr>
        <w:t>»</w:t>
      </w:r>
      <w:r w:rsidR="008A27B9" w:rsidRPr="00690309">
        <w:rPr>
          <w:rStyle w:val="FootnoteReference"/>
          <w:rFonts w:ascii="Bookman Old Style" w:eastAsia="Times New Roman" w:hAnsi="Bookman Old Style" w:cs="Times New Roman"/>
          <w:sz w:val="24"/>
          <w:szCs w:val="24"/>
        </w:rPr>
        <w:footnoteReference w:id="18"/>
      </w:r>
      <w:r w:rsidR="008A27B9" w:rsidRPr="00690309">
        <w:rPr>
          <w:rFonts w:ascii="Bookman Old Style" w:eastAsia="Times New Roman" w:hAnsi="Bookman Old Style" w:cs="Times New Roman"/>
          <w:sz w:val="24"/>
          <w:szCs w:val="24"/>
        </w:rPr>
        <w:t xml:space="preserve">, </w:t>
      </w:r>
      <w:r w:rsidR="00EF698D" w:rsidRPr="00690309">
        <w:rPr>
          <w:rFonts w:ascii="Bookman Old Style" w:eastAsia="Times New Roman" w:hAnsi="Bookman Old Style" w:cs="Times New Roman"/>
          <w:sz w:val="24"/>
          <w:szCs w:val="24"/>
        </w:rPr>
        <w:t>που αποτελεί φθηνή και αποτελεσματική διαδικασία χορήγησης εκτελεστού τίτλου σε όσα κράτη ισχύει το σύστημα της «μη απόδειξης»</w:t>
      </w:r>
      <w:r w:rsidR="00EF698D" w:rsidRPr="00690309">
        <w:rPr>
          <w:rStyle w:val="FootnoteReference"/>
          <w:rFonts w:ascii="Bookman Old Style" w:eastAsia="Times New Roman" w:hAnsi="Bookman Old Style" w:cs="Times New Roman"/>
          <w:sz w:val="24"/>
          <w:szCs w:val="24"/>
        </w:rPr>
        <w:footnoteReference w:id="19"/>
      </w:r>
      <w:r w:rsidR="00EF698D" w:rsidRPr="00690309">
        <w:rPr>
          <w:rFonts w:ascii="Bookman Old Style" w:eastAsia="Times New Roman" w:hAnsi="Bookman Old Style" w:cs="Times New Roman"/>
          <w:sz w:val="24"/>
          <w:szCs w:val="24"/>
        </w:rPr>
        <w:t xml:space="preserve">, </w:t>
      </w:r>
      <w:r w:rsidR="00EF698D" w:rsidRPr="00690309">
        <w:rPr>
          <w:rFonts w:ascii="Bookman Old Style" w:hAnsi="Bookman Old Style" w:cs="Times New Roman"/>
          <w:sz w:val="24"/>
          <w:szCs w:val="24"/>
        </w:rPr>
        <w:t>συν</w:t>
      </w:r>
      <w:r w:rsidR="00BB503F" w:rsidRPr="00690309">
        <w:rPr>
          <w:rFonts w:ascii="Bookman Old Style" w:hAnsi="Bookman Old Style" w:cs="Times New Roman"/>
          <w:sz w:val="24"/>
          <w:szCs w:val="24"/>
        </w:rPr>
        <w:t>έχεται</w:t>
      </w:r>
      <w:r w:rsidR="00EF698D" w:rsidRPr="00690309">
        <w:rPr>
          <w:rFonts w:ascii="Bookman Old Style" w:hAnsi="Bookman Old Style" w:cs="Times New Roman"/>
          <w:sz w:val="24"/>
          <w:szCs w:val="24"/>
        </w:rPr>
        <w:t xml:space="preserve"> μαζί τους </w:t>
      </w:r>
      <w:r w:rsidR="00BB503F" w:rsidRPr="00690309">
        <w:rPr>
          <w:rFonts w:ascii="Bookman Old Style" w:hAnsi="Bookman Old Style" w:cs="Times New Roman"/>
          <w:sz w:val="24"/>
          <w:szCs w:val="24"/>
        </w:rPr>
        <w:t xml:space="preserve">ως προς </w:t>
      </w:r>
      <w:r w:rsidR="00BB503F" w:rsidRPr="00690309">
        <w:rPr>
          <w:rFonts w:ascii="Bookman Old Style" w:hAnsi="Bookman Old Style" w:cs="Times New Roman"/>
          <w:sz w:val="24"/>
          <w:szCs w:val="24"/>
        </w:rPr>
        <w:lastRenderedPageBreak/>
        <w:t>αυτ</w:t>
      </w:r>
      <w:r w:rsidR="00EF698D" w:rsidRPr="00690309">
        <w:rPr>
          <w:rFonts w:ascii="Bookman Old Style" w:hAnsi="Bookman Old Style" w:cs="Times New Roman"/>
          <w:sz w:val="24"/>
          <w:szCs w:val="24"/>
        </w:rPr>
        <w:t>ό, ότι προκειμένου να αποτρ</w:t>
      </w:r>
      <w:r w:rsidR="00EE0CEF" w:rsidRPr="00690309">
        <w:rPr>
          <w:rFonts w:ascii="Bookman Old Style" w:hAnsi="Bookman Old Style" w:cs="Times New Roman"/>
          <w:sz w:val="24"/>
          <w:szCs w:val="24"/>
        </w:rPr>
        <w:t xml:space="preserve">απεί </w:t>
      </w:r>
      <w:r w:rsidR="00EF698D" w:rsidRPr="00690309">
        <w:rPr>
          <w:rFonts w:ascii="Bookman Old Style" w:hAnsi="Bookman Old Style" w:cs="Times New Roman"/>
          <w:sz w:val="24"/>
          <w:szCs w:val="24"/>
        </w:rPr>
        <w:t>ο κίνδυνο</w:t>
      </w:r>
      <w:r w:rsidR="00EE0CEF" w:rsidRPr="00690309">
        <w:rPr>
          <w:rFonts w:ascii="Bookman Old Style" w:hAnsi="Bookman Old Style" w:cs="Times New Roman"/>
          <w:sz w:val="24"/>
          <w:szCs w:val="24"/>
        </w:rPr>
        <w:t>ς</w:t>
      </w:r>
      <w:r w:rsidR="00EF698D" w:rsidRPr="00690309">
        <w:rPr>
          <w:rFonts w:ascii="Bookman Old Style" w:hAnsi="Bookman Old Style" w:cs="Times New Roman"/>
          <w:sz w:val="24"/>
          <w:szCs w:val="24"/>
        </w:rPr>
        <w:t xml:space="preserve"> βλάβης του καθ΄ου από εκτέλεση που θα ανατραπεί,</w:t>
      </w:r>
      <w:r w:rsidR="007E2099" w:rsidRPr="00690309">
        <w:rPr>
          <w:rFonts w:ascii="Bookman Old Style" w:hAnsi="Bookman Old Style" w:cs="Times New Roman"/>
          <w:sz w:val="24"/>
          <w:szCs w:val="24"/>
        </w:rPr>
        <w:t xml:space="preserve"> </w:t>
      </w:r>
      <w:r w:rsidR="009D3B2A" w:rsidRPr="00690309">
        <w:rPr>
          <w:rFonts w:ascii="Bookman Old Style" w:hAnsi="Bookman Old Style" w:cs="Times New Roman"/>
          <w:sz w:val="24"/>
          <w:szCs w:val="24"/>
        </w:rPr>
        <w:t xml:space="preserve">ορισμένα κράτη </w:t>
      </w:r>
      <w:r w:rsidR="007E2099" w:rsidRPr="00690309">
        <w:rPr>
          <w:rFonts w:ascii="Bookman Old Style" w:hAnsi="Bookman Old Style" w:cs="Times New Roman"/>
          <w:sz w:val="24"/>
          <w:szCs w:val="24"/>
        </w:rPr>
        <w:t>έχουν θέσει</w:t>
      </w:r>
      <w:r w:rsidR="00EE0CEF" w:rsidRPr="00690309">
        <w:rPr>
          <w:rFonts w:ascii="Bookman Old Style" w:hAnsi="Bookman Old Style" w:cs="Times New Roman"/>
          <w:sz w:val="24"/>
          <w:szCs w:val="24"/>
        </w:rPr>
        <w:t xml:space="preserve"> ποσοτικο</w:t>
      </w:r>
      <w:r w:rsidR="007E2099" w:rsidRPr="00690309">
        <w:rPr>
          <w:rFonts w:ascii="Bookman Old Style" w:hAnsi="Bookman Old Style" w:cs="Times New Roman"/>
          <w:sz w:val="24"/>
          <w:szCs w:val="24"/>
        </w:rPr>
        <w:t>ύς</w:t>
      </w:r>
      <w:r w:rsidR="00EE0CEF" w:rsidRPr="00690309">
        <w:rPr>
          <w:rFonts w:ascii="Bookman Old Style" w:hAnsi="Bookman Old Style" w:cs="Times New Roman"/>
          <w:sz w:val="24"/>
          <w:szCs w:val="24"/>
        </w:rPr>
        <w:t xml:space="preserve"> </w:t>
      </w:r>
      <w:r w:rsidR="00EF698D" w:rsidRPr="00690309">
        <w:rPr>
          <w:rFonts w:ascii="Bookman Old Style" w:hAnsi="Bookman Old Style" w:cs="Times New Roman"/>
          <w:sz w:val="24"/>
          <w:szCs w:val="24"/>
        </w:rPr>
        <w:t>περιορισμο</w:t>
      </w:r>
      <w:r w:rsidR="007E2099" w:rsidRPr="00690309">
        <w:rPr>
          <w:rFonts w:ascii="Bookman Old Style" w:hAnsi="Bookman Old Style" w:cs="Times New Roman"/>
          <w:sz w:val="24"/>
          <w:szCs w:val="24"/>
        </w:rPr>
        <w:t xml:space="preserve">ύς </w:t>
      </w:r>
      <w:r w:rsidR="00EF698D" w:rsidRPr="00690309">
        <w:rPr>
          <w:rFonts w:ascii="Bookman Old Style" w:hAnsi="Bookman Old Style" w:cs="Times New Roman"/>
          <w:sz w:val="24"/>
          <w:szCs w:val="24"/>
        </w:rPr>
        <w:t>στο ύψος του αιτούμενου ποσού</w:t>
      </w:r>
      <w:r w:rsidR="00EE0CEF" w:rsidRPr="00690309">
        <w:rPr>
          <w:rStyle w:val="FootnoteReference"/>
          <w:rFonts w:ascii="Bookman Old Style" w:eastAsia="Times New Roman" w:hAnsi="Bookman Old Style" w:cs="Times New Roman"/>
          <w:sz w:val="24"/>
          <w:szCs w:val="24"/>
        </w:rPr>
        <w:footnoteReference w:id="20"/>
      </w:r>
      <w:r w:rsidR="00EE0CEF" w:rsidRPr="00690309">
        <w:rPr>
          <w:rFonts w:ascii="Bookman Old Style" w:hAnsi="Bookman Old Style" w:cs="Times New Roman"/>
          <w:sz w:val="24"/>
          <w:szCs w:val="24"/>
        </w:rPr>
        <w:t>.</w:t>
      </w:r>
      <w:r w:rsidR="00EF698D" w:rsidRPr="00690309">
        <w:rPr>
          <w:rFonts w:ascii="Bookman Old Style" w:hAnsi="Bookman Old Style" w:cs="Times New Roman"/>
          <w:sz w:val="24"/>
          <w:szCs w:val="24"/>
        </w:rPr>
        <w:t xml:space="preserve"> </w:t>
      </w:r>
    </w:p>
    <w:p w:rsidR="00846C90" w:rsidRPr="00690309" w:rsidRDefault="00846C90" w:rsidP="00690309">
      <w:pPr>
        <w:spacing w:line="360" w:lineRule="auto"/>
        <w:ind w:firstLine="720"/>
        <w:jc w:val="both"/>
        <w:rPr>
          <w:rFonts w:ascii="Bookman Old Style" w:eastAsia="Times New Roman" w:hAnsi="Bookman Old Style" w:cs="Times New Roman"/>
          <w:sz w:val="24"/>
          <w:szCs w:val="24"/>
        </w:rPr>
      </w:pPr>
      <w:r w:rsidRPr="00690309">
        <w:rPr>
          <w:rFonts w:ascii="Bookman Old Style" w:eastAsia="Times New Roman" w:hAnsi="Bookman Old Style" w:cs="Times New Roman"/>
          <w:sz w:val="24"/>
          <w:szCs w:val="24"/>
        </w:rPr>
        <w:t xml:space="preserve">Η </w:t>
      </w:r>
      <w:r w:rsidR="00EE0CEF" w:rsidRPr="00690309">
        <w:rPr>
          <w:rFonts w:ascii="Bookman Old Style" w:eastAsia="Times New Roman" w:hAnsi="Bookman Old Style" w:cs="Times New Roman"/>
          <w:sz w:val="24"/>
          <w:szCs w:val="24"/>
        </w:rPr>
        <w:t>μελέτη</w:t>
      </w:r>
      <w:r w:rsidRPr="00690309">
        <w:rPr>
          <w:rFonts w:ascii="Bookman Old Style" w:eastAsia="Times New Roman" w:hAnsi="Bookman Old Style" w:cs="Times New Roman"/>
          <w:sz w:val="24"/>
          <w:szCs w:val="24"/>
        </w:rPr>
        <w:t xml:space="preserve"> επικεντρώνεται</w:t>
      </w:r>
      <w:r w:rsidR="00C9797E" w:rsidRPr="00690309">
        <w:rPr>
          <w:rFonts w:ascii="Bookman Old Style" w:eastAsia="Times New Roman" w:hAnsi="Bookman Old Style" w:cs="Times New Roman"/>
          <w:sz w:val="24"/>
          <w:szCs w:val="24"/>
        </w:rPr>
        <w:t xml:space="preserve">, ιδίως, σε </w:t>
      </w:r>
      <w:r w:rsidR="00D957CC">
        <w:rPr>
          <w:rFonts w:ascii="Bookman Old Style" w:eastAsia="Times New Roman" w:hAnsi="Bookman Old Style" w:cs="Times New Roman"/>
          <w:sz w:val="24"/>
          <w:szCs w:val="24"/>
        </w:rPr>
        <w:t>τρείς</w:t>
      </w:r>
      <w:r w:rsidR="00C9797E" w:rsidRPr="00690309">
        <w:rPr>
          <w:rFonts w:ascii="Bookman Old Style" w:eastAsia="Times New Roman" w:hAnsi="Bookman Old Style" w:cs="Times New Roman"/>
          <w:sz w:val="24"/>
          <w:szCs w:val="24"/>
        </w:rPr>
        <w:t xml:space="preserve"> κατηγορίες, σε κράτη μέλη </w:t>
      </w:r>
      <w:r w:rsidR="00CB16DE">
        <w:rPr>
          <w:rFonts w:ascii="Bookman Old Style" w:eastAsia="Times New Roman" w:hAnsi="Bookman Old Style" w:cs="Times New Roman"/>
          <w:sz w:val="24"/>
          <w:szCs w:val="24"/>
        </w:rPr>
        <w:t>στα οποία</w:t>
      </w:r>
      <w:r w:rsidR="00C9797E" w:rsidRPr="00690309">
        <w:rPr>
          <w:rFonts w:ascii="Bookman Old Style" w:eastAsia="Times New Roman" w:hAnsi="Bookman Old Style" w:cs="Times New Roman"/>
          <w:sz w:val="24"/>
          <w:szCs w:val="24"/>
        </w:rPr>
        <w:t xml:space="preserve"> δεν υφίστανται </w:t>
      </w:r>
      <w:r w:rsidR="00CB16DE">
        <w:rPr>
          <w:rFonts w:ascii="Bookman Old Style" w:eastAsia="Times New Roman" w:hAnsi="Bookman Old Style" w:cs="Times New Roman"/>
          <w:sz w:val="24"/>
          <w:szCs w:val="24"/>
        </w:rPr>
        <w:t xml:space="preserve">καθόλου </w:t>
      </w:r>
      <w:r w:rsidR="00C9797E" w:rsidRPr="00690309">
        <w:rPr>
          <w:rFonts w:ascii="Bookman Old Style" w:eastAsia="Times New Roman" w:hAnsi="Bookman Old Style" w:cs="Times New Roman"/>
          <w:sz w:val="24"/>
          <w:szCs w:val="24"/>
        </w:rPr>
        <w:t>μικροδιαφορ</w:t>
      </w:r>
      <w:r w:rsidR="00710635" w:rsidRPr="00690309">
        <w:rPr>
          <w:rFonts w:ascii="Bookman Old Style" w:eastAsia="Times New Roman" w:hAnsi="Bookman Old Style" w:cs="Times New Roman"/>
          <w:sz w:val="24"/>
          <w:szCs w:val="24"/>
        </w:rPr>
        <w:t>ές</w:t>
      </w:r>
      <w:r w:rsidR="00C9797E" w:rsidRPr="00690309">
        <w:rPr>
          <w:rFonts w:ascii="Bookman Old Style" w:eastAsia="Times New Roman" w:hAnsi="Bookman Old Style" w:cs="Times New Roman"/>
          <w:sz w:val="24"/>
          <w:szCs w:val="24"/>
        </w:rPr>
        <w:t xml:space="preserve">, </w:t>
      </w:r>
      <w:r w:rsidR="00CB16DE">
        <w:rPr>
          <w:rFonts w:ascii="Bookman Old Style" w:eastAsia="Times New Roman" w:hAnsi="Bookman Old Style" w:cs="Times New Roman"/>
          <w:sz w:val="24"/>
          <w:szCs w:val="24"/>
        </w:rPr>
        <w:t xml:space="preserve">σε κράτη που δεν υφίστανται </w:t>
      </w:r>
      <w:r w:rsidR="00CB16DE">
        <w:rPr>
          <w:rFonts w:ascii="Bookman Old Style" w:eastAsia="Times New Roman" w:hAnsi="Bookman Old Style" w:cs="Times New Roman"/>
          <w:sz w:val="24"/>
          <w:szCs w:val="24"/>
          <w:lang w:val="en-US"/>
        </w:rPr>
        <w:t>stricto</w:t>
      </w:r>
      <w:r w:rsidR="00CB16DE" w:rsidRPr="00CB16DE">
        <w:rPr>
          <w:rFonts w:ascii="Bookman Old Style" w:eastAsia="Times New Roman" w:hAnsi="Bookman Old Style" w:cs="Times New Roman"/>
          <w:sz w:val="24"/>
          <w:szCs w:val="24"/>
        </w:rPr>
        <w:t xml:space="preserve"> </w:t>
      </w:r>
      <w:r w:rsidR="00CB16DE">
        <w:rPr>
          <w:rFonts w:ascii="Bookman Old Style" w:eastAsia="Times New Roman" w:hAnsi="Bookman Old Style" w:cs="Times New Roman"/>
          <w:sz w:val="24"/>
          <w:szCs w:val="24"/>
          <w:lang w:val="en-US"/>
        </w:rPr>
        <w:t>sensu</w:t>
      </w:r>
      <w:r w:rsidR="00CB16DE" w:rsidRPr="00CB16DE">
        <w:rPr>
          <w:rFonts w:ascii="Bookman Old Style" w:eastAsia="Times New Roman" w:hAnsi="Bookman Old Style" w:cs="Times New Roman"/>
          <w:sz w:val="24"/>
          <w:szCs w:val="24"/>
        </w:rPr>
        <w:t xml:space="preserve"> </w:t>
      </w:r>
      <w:r w:rsidR="00CB16DE">
        <w:rPr>
          <w:rFonts w:ascii="Bookman Old Style" w:eastAsia="Times New Roman" w:hAnsi="Bookman Old Style" w:cs="Times New Roman"/>
          <w:sz w:val="24"/>
          <w:szCs w:val="24"/>
        </w:rPr>
        <w:t xml:space="preserve">τέτοιες, </w:t>
      </w:r>
      <w:r w:rsidR="00346644">
        <w:rPr>
          <w:rFonts w:ascii="Bookman Old Style" w:eastAsia="Times New Roman" w:hAnsi="Bookman Old Style" w:cs="Times New Roman"/>
          <w:sz w:val="24"/>
          <w:szCs w:val="24"/>
        </w:rPr>
        <w:t xml:space="preserve">παρά </w:t>
      </w:r>
      <w:r w:rsidR="0030147F">
        <w:rPr>
          <w:rFonts w:ascii="Bookman Old Style" w:eastAsia="Times New Roman" w:hAnsi="Bookman Old Style" w:cs="Times New Roman"/>
          <w:sz w:val="24"/>
          <w:szCs w:val="24"/>
        </w:rPr>
        <w:t xml:space="preserve">μόνο </w:t>
      </w:r>
      <w:r w:rsidR="00D96417">
        <w:rPr>
          <w:rFonts w:ascii="Bookman Old Style" w:eastAsia="Times New Roman" w:hAnsi="Bookman Old Style" w:cs="Times New Roman"/>
          <w:sz w:val="24"/>
          <w:szCs w:val="24"/>
        </w:rPr>
        <w:t>ισχύουν</w:t>
      </w:r>
      <w:r w:rsidR="0030147F">
        <w:rPr>
          <w:rFonts w:ascii="Bookman Old Style" w:eastAsia="Times New Roman" w:hAnsi="Bookman Old Style" w:cs="Times New Roman"/>
          <w:sz w:val="24"/>
          <w:szCs w:val="24"/>
        </w:rPr>
        <w:t xml:space="preserve"> </w:t>
      </w:r>
      <w:r w:rsidR="00E40B14">
        <w:rPr>
          <w:rFonts w:ascii="Bookman Old Style" w:eastAsia="Times New Roman" w:hAnsi="Bookman Old Style" w:cs="Times New Roman"/>
          <w:sz w:val="24"/>
          <w:szCs w:val="24"/>
        </w:rPr>
        <w:t xml:space="preserve">διαδικαστικές απλουστεύσεις σε σχέση με τις </w:t>
      </w:r>
      <w:r w:rsidR="00E40B14">
        <w:rPr>
          <w:rFonts w:ascii="Bookman Old Style" w:hAnsi="Bookman Old Style"/>
          <w:sz w:val="24"/>
          <w:szCs w:val="24"/>
        </w:rPr>
        <w:t>λοιπές υποθέσεις του πρώτου βαθμού δικαιοδοσίας,</w:t>
      </w:r>
      <w:r w:rsidR="00E40B14" w:rsidRPr="00690309">
        <w:rPr>
          <w:rFonts w:ascii="Bookman Old Style" w:eastAsia="Times New Roman" w:hAnsi="Bookman Old Style" w:cs="Times New Roman"/>
          <w:sz w:val="24"/>
          <w:szCs w:val="24"/>
        </w:rPr>
        <w:t xml:space="preserve"> </w:t>
      </w:r>
      <w:r w:rsidR="00CB16DE">
        <w:rPr>
          <w:rFonts w:ascii="Bookman Old Style" w:eastAsia="Times New Roman" w:hAnsi="Bookman Old Style" w:cs="Times New Roman"/>
          <w:sz w:val="24"/>
          <w:szCs w:val="24"/>
        </w:rPr>
        <w:t xml:space="preserve">καθώς, </w:t>
      </w:r>
      <w:r w:rsidR="00E40B14">
        <w:rPr>
          <w:rFonts w:ascii="Bookman Old Style" w:eastAsia="Times New Roman" w:hAnsi="Bookman Old Style" w:cs="Times New Roman"/>
          <w:sz w:val="24"/>
          <w:szCs w:val="24"/>
        </w:rPr>
        <w:t xml:space="preserve">και σε κράτη που </w:t>
      </w:r>
      <w:r w:rsidR="00D96417">
        <w:rPr>
          <w:rFonts w:ascii="Bookman Old Style" w:eastAsia="Times New Roman" w:hAnsi="Bookman Old Style" w:cs="Times New Roman"/>
          <w:sz w:val="24"/>
          <w:szCs w:val="24"/>
        </w:rPr>
        <w:t>λειτουργεί</w:t>
      </w:r>
      <w:r w:rsidR="00E40B14">
        <w:rPr>
          <w:rFonts w:ascii="Bookman Old Style" w:eastAsia="Times New Roman" w:hAnsi="Bookman Old Style" w:cs="Times New Roman"/>
          <w:sz w:val="24"/>
          <w:szCs w:val="24"/>
        </w:rPr>
        <w:t xml:space="preserve"> εγγενή</w:t>
      </w:r>
      <w:r w:rsidR="00F0627F">
        <w:rPr>
          <w:rFonts w:ascii="Bookman Old Style" w:eastAsia="Times New Roman" w:hAnsi="Bookman Old Style" w:cs="Times New Roman"/>
          <w:sz w:val="24"/>
          <w:szCs w:val="24"/>
        </w:rPr>
        <w:t>ς</w:t>
      </w:r>
      <w:r w:rsidR="00E40B14">
        <w:rPr>
          <w:rFonts w:ascii="Bookman Old Style" w:eastAsia="Times New Roman" w:hAnsi="Bookman Old Style" w:cs="Times New Roman"/>
          <w:sz w:val="24"/>
          <w:szCs w:val="24"/>
        </w:rPr>
        <w:t xml:space="preserve"> διαδικαστική αυτοτέλει</w:t>
      </w:r>
      <w:r w:rsidR="00D96417">
        <w:rPr>
          <w:rFonts w:ascii="Bookman Old Style" w:eastAsia="Times New Roman" w:hAnsi="Bookman Old Style" w:cs="Times New Roman"/>
          <w:sz w:val="24"/>
          <w:szCs w:val="24"/>
        </w:rPr>
        <w:t>ά τους</w:t>
      </w:r>
      <w:r w:rsidR="00E40B14">
        <w:rPr>
          <w:rFonts w:ascii="Bookman Old Style" w:eastAsia="Times New Roman" w:hAnsi="Bookman Old Style" w:cs="Times New Roman"/>
          <w:sz w:val="24"/>
          <w:szCs w:val="24"/>
        </w:rPr>
        <w:t xml:space="preserve">, </w:t>
      </w:r>
      <w:r w:rsidR="00D96417">
        <w:rPr>
          <w:rFonts w:ascii="Bookman Old Style" w:eastAsia="Times New Roman" w:hAnsi="Bookman Old Style" w:cs="Times New Roman"/>
          <w:sz w:val="24"/>
          <w:szCs w:val="24"/>
        </w:rPr>
        <w:t xml:space="preserve">για τη διάγνωση και εκκαθάριση </w:t>
      </w:r>
      <w:r w:rsidR="00E40B14">
        <w:rPr>
          <w:rFonts w:ascii="Bookman Old Style" w:eastAsia="Times New Roman" w:hAnsi="Bookman Old Style" w:cs="Times New Roman"/>
          <w:sz w:val="24"/>
          <w:szCs w:val="24"/>
        </w:rPr>
        <w:t>έως συγκεκριμένο ποσό</w:t>
      </w:r>
      <w:r w:rsidRPr="00690309">
        <w:rPr>
          <w:rFonts w:ascii="Bookman Old Style" w:eastAsia="Times New Roman" w:hAnsi="Bookman Old Style" w:cs="Times New Roman"/>
          <w:sz w:val="24"/>
          <w:szCs w:val="24"/>
        </w:rPr>
        <w:t xml:space="preserve">. </w:t>
      </w:r>
      <w:r w:rsidR="00C9797E" w:rsidRPr="00690309">
        <w:rPr>
          <w:rFonts w:ascii="Bookman Old Style" w:eastAsia="Times New Roman" w:hAnsi="Bookman Old Style" w:cs="Times New Roman"/>
          <w:sz w:val="24"/>
          <w:szCs w:val="24"/>
        </w:rPr>
        <w:t>Ειδικότερα</w:t>
      </w:r>
      <w:r w:rsidRPr="00690309">
        <w:rPr>
          <w:rFonts w:ascii="Bookman Old Style" w:eastAsia="Times New Roman" w:hAnsi="Bookman Old Style" w:cs="Times New Roman"/>
          <w:sz w:val="24"/>
          <w:szCs w:val="24"/>
        </w:rPr>
        <w:t>:</w:t>
      </w:r>
    </w:p>
    <w:p w:rsidR="00C9797E" w:rsidRPr="00690309" w:rsidRDefault="003942DC" w:rsidP="00690309">
      <w:pPr>
        <w:spacing w:line="360" w:lineRule="auto"/>
        <w:ind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Α. </w:t>
      </w:r>
      <w:r w:rsidR="00846C90" w:rsidRPr="00690309">
        <w:rPr>
          <w:rFonts w:ascii="Bookman Old Style" w:eastAsia="Times New Roman" w:hAnsi="Bookman Old Style" w:cs="Times New Roman"/>
          <w:sz w:val="24"/>
          <w:szCs w:val="24"/>
        </w:rPr>
        <w:t>Σ</w:t>
      </w:r>
      <w:r w:rsidR="00C9797E" w:rsidRPr="00690309">
        <w:rPr>
          <w:rFonts w:ascii="Bookman Old Style" w:eastAsia="Times New Roman" w:hAnsi="Bookman Old Style" w:cs="Times New Roman"/>
          <w:sz w:val="24"/>
          <w:szCs w:val="24"/>
        </w:rPr>
        <w:t>τα 2</w:t>
      </w:r>
      <w:r w:rsidR="009144ED" w:rsidRPr="00690309">
        <w:rPr>
          <w:rFonts w:ascii="Bookman Old Style" w:eastAsia="Times New Roman" w:hAnsi="Bookman Old Style" w:cs="Times New Roman"/>
          <w:sz w:val="24"/>
          <w:szCs w:val="24"/>
        </w:rPr>
        <w:t>6</w:t>
      </w:r>
      <w:r w:rsidR="00C9797E" w:rsidRPr="00690309">
        <w:rPr>
          <w:rFonts w:ascii="Bookman Old Style" w:eastAsia="Times New Roman" w:hAnsi="Bookman Old Style" w:cs="Times New Roman"/>
          <w:sz w:val="24"/>
          <w:szCs w:val="24"/>
        </w:rPr>
        <w:t xml:space="preserve"> από τα 2</w:t>
      </w:r>
      <w:r w:rsidR="00670FAF" w:rsidRPr="00690309">
        <w:rPr>
          <w:rFonts w:ascii="Bookman Old Style" w:eastAsia="Times New Roman" w:hAnsi="Bookman Old Style" w:cs="Times New Roman"/>
          <w:sz w:val="24"/>
          <w:szCs w:val="24"/>
        </w:rPr>
        <w:t>8</w:t>
      </w:r>
      <w:r w:rsidR="00C9797E" w:rsidRPr="00690309">
        <w:rPr>
          <w:rFonts w:ascii="Bookman Old Style" w:eastAsia="Times New Roman" w:hAnsi="Bookman Old Style" w:cs="Times New Roman"/>
          <w:sz w:val="24"/>
          <w:szCs w:val="24"/>
        </w:rPr>
        <w:t xml:space="preserve"> κράτη μέλη</w:t>
      </w:r>
      <w:r w:rsidR="00C9797E" w:rsidRPr="00690309">
        <w:rPr>
          <w:rStyle w:val="FootnoteReference"/>
          <w:rFonts w:ascii="Bookman Old Style" w:eastAsia="Times New Roman" w:hAnsi="Bookman Old Style" w:cs="Times New Roman"/>
          <w:sz w:val="24"/>
          <w:szCs w:val="24"/>
        </w:rPr>
        <w:footnoteReference w:id="21"/>
      </w:r>
      <w:r w:rsidR="00C9797E" w:rsidRPr="00690309">
        <w:rPr>
          <w:rFonts w:ascii="Bookman Old Style" w:eastAsia="Times New Roman" w:hAnsi="Bookman Old Style" w:cs="Times New Roman"/>
          <w:sz w:val="24"/>
          <w:szCs w:val="24"/>
        </w:rPr>
        <w:t xml:space="preserve"> , δεν</w:t>
      </w:r>
      <w:r w:rsidR="00C9797E" w:rsidRPr="00690309">
        <w:rPr>
          <w:rFonts w:ascii="Bookman Old Style" w:eastAsia="Times New Roman" w:hAnsi="Bookman Old Style" w:cs="Times New Roman"/>
          <w:b/>
          <w:sz w:val="24"/>
          <w:szCs w:val="24"/>
        </w:rPr>
        <w:t xml:space="preserve"> </w:t>
      </w:r>
      <w:r w:rsidR="00C9797E" w:rsidRPr="00690309">
        <w:rPr>
          <w:rFonts w:ascii="Bookman Old Style" w:eastAsia="Times New Roman" w:hAnsi="Bookman Old Style" w:cs="Times New Roman"/>
          <w:sz w:val="24"/>
          <w:szCs w:val="24"/>
        </w:rPr>
        <w:t xml:space="preserve">υφίστανται ειδικές διατάξεις περί μικροδιαφορών, σε </w:t>
      </w:r>
      <w:r w:rsidR="000B2E74">
        <w:rPr>
          <w:rFonts w:ascii="Bookman Old Style" w:eastAsia="Times New Roman" w:hAnsi="Bookman Old Style" w:cs="Times New Roman"/>
          <w:sz w:val="24"/>
          <w:szCs w:val="24"/>
        </w:rPr>
        <w:t>6</w:t>
      </w:r>
      <w:r w:rsidR="009144ED" w:rsidRPr="00690309">
        <w:rPr>
          <w:rFonts w:ascii="Bookman Old Style" w:eastAsia="Times New Roman" w:hAnsi="Bookman Old Style" w:cs="Times New Roman"/>
          <w:sz w:val="24"/>
          <w:szCs w:val="24"/>
        </w:rPr>
        <w:t xml:space="preserve"> </w:t>
      </w:r>
      <w:r w:rsidR="00C9797E" w:rsidRPr="00690309">
        <w:rPr>
          <w:rFonts w:ascii="Bookman Old Style" w:eastAsia="Times New Roman" w:hAnsi="Bookman Old Style" w:cs="Times New Roman"/>
          <w:sz w:val="24"/>
          <w:szCs w:val="24"/>
        </w:rPr>
        <w:t>από αυτά και, δη</w:t>
      </w:r>
      <w:r w:rsidR="00C9797E" w:rsidRPr="00690309">
        <w:rPr>
          <w:rStyle w:val="FootnoteReference"/>
          <w:rFonts w:ascii="Bookman Old Style" w:eastAsia="Times New Roman" w:hAnsi="Bookman Old Style" w:cs="Times New Roman"/>
          <w:sz w:val="24"/>
          <w:szCs w:val="24"/>
        </w:rPr>
        <w:footnoteReference w:id="22"/>
      </w:r>
      <w:r w:rsidR="00C9797E" w:rsidRPr="00690309">
        <w:rPr>
          <w:rFonts w:ascii="Bookman Old Style" w:eastAsia="Times New Roman" w:hAnsi="Bookman Old Style" w:cs="Times New Roman"/>
          <w:sz w:val="24"/>
          <w:szCs w:val="24"/>
        </w:rPr>
        <w:t>, στο Βέλγιο, στην Βουλγαρία</w:t>
      </w:r>
      <w:r w:rsidR="00C9797E" w:rsidRPr="00690309">
        <w:rPr>
          <w:rStyle w:val="FootnoteReference"/>
          <w:rFonts w:ascii="Bookman Old Style" w:eastAsia="Times New Roman" w:hAnsi="Bookman Old Style" w:cs="Times New Roman"/>
          <w:sz w:val="24"/>
          <w:szCs w:val="24"/>
        </w:rPr>
        <w:footnoteReference w:id="23"/>
      </w:r>
      <w:r w:rsidR="00C9797E" w:rsidRPr="00690309">
        <w:rPr>
          <w:rFonts w:ascii="Bookman Old Style" w:eastAsia="Times New Roman" w:hAnsi="Bookman Old Style" w:cs="Times New Roman"/>
          <w:sz w:val="24"/>
          <w:szCs w:val="24"/>
        </w:rPr>
        <w:t xml:space="preserve">, </w:t>
      </w:r>
      <w:r w:rsidR="009144ED" w:rsidRPr="00690309">
        <w:rPr>
          <w:rFonts w:ascii="Bookman Old Style" w:eastAsia="Times New Roman" w:hAnsi="Bookman Old Style" w:cs="Times New Roman"/>
          <w:sz w:val="24"/>
          <w:szCs w:val="24"/>
        </w:rPr>
        <w:t>στη Δανία</w:t>
      </w:r>
      <w:r w:rsidR="009144ED" w:rsidRPr="00690309">
        <w:rPr>
          <w:rStyle w:val="FootnoteReference"/>
          <w:rFonts w:ascii="Bookman Old Style" w:eastAsia="Times New Roman" w:hAnsi="Bookman Old Style" w:cs="Times New Roman"/>
          <w:sz w:val="24"/>
          <w:szCs w:val="24"/>
        </w:rPr>
        <w:footnoteReference w:id="24"/>
      </w:r>
      <w:r w:rsidR="009144ED" w:rsidRPr="00690309">
        <w:rPr>
          <w:rFonts w:ascii="Bookman Old Style" w:eastAsia="Times New Roman" w:hAnsi="Bookman Old Style" w:cs="Times New Roman"/>
          <w:sz w:val="24"/>
          <w:szCs w:val="24"/>
        </w:rPr>
        <w:t>, στην Κύπρο</w:t>
      </w:r>
      <w:r w:rsidR="009144ED" w:rsidRPr="00690309">
        <w:rPr>
          <w:rStyle w:val="FootnoteReference"/>
          <w:rFonts w:ascii="Bookman Old Style" w:eastAsia="Times New Roman" w:hAnsi="Bookman Old Style" w:cs="Times New Roman"/>
          <w:sz w:val="24"/>
          <w:szCs w:val="24"/>
        </w:rPr>
        <w:footnoteReference w:id="25"/>
      </w:r>
      <w:r w:rsidR="009144ED" w:rsidRPr="00690309">
        <w:rPr>
          <w:rFonts w:ascii="Bookman Old Style" w:eastAsia="Times New Roman" w:hAnsi="Bookman Old Style" w:cs="Times New Roman"/>
          <w:sz w:val="24"/>
          <w:szCs w:val="24"/>
        </w:rPr>
        <w:t xml:space="preserve">, </w:t>
      </w:r>
      <w:r w:rsidR="00C9797E" w:rsidRPr="00690309">
        <w:rPr>
          <w:rFonts w:ascii="Bookman Old Style" w:eastAsia="Times New Roman" w:hAnsi="Bookman Old Style" w:cs="Times New Roman"/>
          <w:sz w:val="24"/>
          <w:szCs w:val="24"/>
        </w:rPr>
        <w:t>στο Λουξεμβούργο</w:t>
      </w:r>
      <w:r w:rsidR="000B2E74">
        <w:rPr>
          <w:rFonts w:ascii="Bookman Old Style" w:eastAsia="Times New Roman" w:hAnsi="Bookman Old Style" w:cs="Times New Roman"/>
          <w:sz w:val="24"/>
          <w:szCs w:val="24"/>
        </w:rPr>
        <w:t xml:space="preserve"> και</w:t>
      </w:r>
      <w:r w:rsidR="00C9797E" w:rsidRPr="00690309">
        <w:rPr>
          <w:rFonts w:ascii="Bookman Old Style" w:eastAsia="Times New Roman" w:hAnsi="Bookman Old Style" w:cs="Times New Roman"/>
          <w:sz w:val="24"/>
          <w:szCs w:val="24"/>
        </w:rPr>
        <w:t xml:space="preserve"> στην Τσεχία</w:t>
      </w:r>
      <w:r w:rsidR="00C9797E" w:rsidRPr="00690309">
        <w:rPr>
          <w:rStyle w:val="FootnoteReference"/>
          <w:rFonts w:ascii="Bookman Old Style" w:eastAsia="Times New Roman" w:hAnsi="Bookman Old Style" w:cs="Times New Roman"/>
          <w:sz w:val="24"/>
          <w:szCs w:val="24"/>
        </w:rPr>
        <w:footnoteReference w:id="26"/>
      </w:r>
      <w:r w:rsidR="00C9797E" w:rsidRPr="00690309">
        <w:rPr>
          <w:rFonts w:ascii="Bookman Old Style" w:eastAsia="Times New Roman" w:hAnsi="Bookman Old Style" w:cs="Times New Roman"/>
          <w:sz w:val="24"/>
          <w:szCs w:val="24"/>
        </w:rPr>
        <w:t xml:space="preserve">. Εξ’ αυτών: </w:t>
      </w:r>
    </w:p>
    <w:p w:rsidR="00C9797E" w:rsidRPr="00690309" w:rsidRDefault="00971F99" w:rsidP="00690309">
      <w:pPr>
        <w:spacing w:line="360" w:lineRule="auto"/>
        <w:ind w:firstLine="720"/>
        <w:jc w:val="both"/>
        <w:rPr>
          <w:rFonts w:ascii="Bookman Old Style" w:hAnsi="Bookman Old Style" w:cs="Times New Roman"/>
          <w:sz w:val="24"/>
          <w:szCs w:val="24"/>
        </w:rPr>
      </w:pPr>
      <w:r w:rsidRPr="00690309">
        <w:rPr>
          <w:rFonts w:ascii="Bookman Old Style" w:hAnsi="Bookman Old Style" w:cs="Times New Roman"/>
          <w:sz w:val="24"/>
          <w:szCs w:val="24"/>
        </w:rPr>
        <w:lastRenderedPageBreak/>
        <w:t>Σ</w:t>
      </w:r>
      <w:r w:rsidR="00C9797E" w:rsidRPr="00690309">
        <w:rPr>
          <w:rFonts w:ascii="Bookman Old Style" w:hAnsi="Bookman Old Style" w:cs="Times New Roman"/>
          <w:sz w:val="24"/>
          <w:szCs w:val="24"/>
        </w:rPr>
        <w:t>το Βέλγιο</w:t>
      </w:r>
      <w:r w:rsidR="00F41485" w:rsidRPr="00690309">
        <w:rPr>
          <w:rStyle w:val="FootnoteReference"/>
          <w:rFonts w:ascii="Bookman Old Style" w:hAnsi="Bookman Old Style" w:cs="Times New Roman"/>
          <w:sz w:val="24"/>
          <w:szCs w:val="24"/>
        </w:rPr>
        <w:footnoteReference w:id="27"/>
      </w:r>
      <w:r w:rsidR="00C9797E" w:rsidRPr="00690309">
        <w:rPr>
          <w:rFonts w:ascii="Bookman Old Style" w:hAnsi="Bookman Old Style" w:cs="Times New Roman"/>
          <w:sz w:val="24"/>
          <w:szCs w:val="24"/>
        </w:rPr>
        <w:t xml:space="preserve"> δεν υ</w:t>
      </w:r>
      <w:r w:rsidR="00972B7B">
        <w:rPr>
          <w:rFonts w:ascii="Bookman Old Style" w:hAnsi="Bookman Old Style" w:cs="Times New Roman"/>
          <w:sz w:val="24"/>
          <w:szCs w:val="24"/>
        </w:rPr>
        <w:t>φίσταται</w:t>
      </w:r>
      <w:r w:rsidR="00C9797E" w:rsidRPr="00690309">
        <w:rPr>
          <w:rFonts w:ascii="Bookman Old Style" w:hAnsi="Bookman Old Style" w:cs="Times New Roman"/>
          <w:sz w:val="24"/>
          <w:szCs w:val="24"/>
        </w:rPr>
        <w:t xml:space="preserve"> ειδική διαδικασία μικροδιαφορών, αλλά, ένα είδος «διαταγής πληρωμής»</w:t>
      </w:r>
      <w:r w:rsidR="00C9797E" w:rsidRPr="00690309">
        <w:rPr>
          <w:rStyle w:val="FootnoteReference"/>
          <w:rFonts w:ascii="Bookman Old Style" w:hAnsi="Bookman Old Style" w:cs="Times New Roman"/>
          <w:sz w:val="24"/>
          <w:szCs w:val="24"/>
        </w:rPr>
        <w:footnoteReference w:id="28"/>
      </w:r>
      <w:r w:rsidR="00C9797E" w:rsidRPr="00690309">
        <w:rPr>
          <w:rFonts w:ascii="Bookman Old Style" w:hAnsi="Bookman Old Style" w:cs="Times New Roman"/>
          <w:sz w:val="24"/>
          <w:szCs w:val="24"/>
        </w:rPr>
        <w:t xml:space="preserve"> έως το ποσό των 1.860,00 ευρώ</w:t>
      </w:r>
      <w:r w:rsidR="00C9797E" w:rsidRPr="00690309">
        <w:rPr>
          <w:rStyle w:val="FootnoteReference"/>
          <w:rFonts w:ascii="Bookman Old Style" w:hAnsi="Bookman Old Style" w:cs="Times New Roman"/>
          <w:sz w:val="24"/>
          <w:szCs w:val="24"/>
        </w:rPr>
        <w:footnoteReference w:id="29"/>
      </w:r>
      <w:r w:rsidR="00C9797E" w:rsidRPr="00690309">
        <w:rPr>
          <w:rFonts w:ascii="Bookman Old Style" w:hAnsi="Bookman Old Style" w:cs="Times New Roman"/>
          <w:sz w:val="24"/>
          <w:szCs w:val="24"/>
        </w:rPr>
        <w:t>, για υποθέσεις Ειρηνοδικείου</w:t>
      </w:r>
      <w:r w:rsidR="00C9797E" w:rsidRPr="00690309">
        <w:rPr>
          <w:rStyle w:val="FootnoteReference"/>
          <w:rFonts w:ascii="Bookman Old Style" w:hAnsi="Bookman Old Style" w:cs="Times New Roman"/>
          <w:sz w:val="24"/>
          <w:szCs w:val="24"/>
        </w:rPr>
        <w:footnoteReference w:id="30"/>
      </w:r>
      <w:r w:rsidR="00C9797E" w:rsidRPr="00690309">
        <w:rPr>
          <w:rFonts w:ascii="Bookman Old Style" w:hAnsi="Bookman Old Style" w:cs="Times New Roman"/>
          <w:sz w:val="24"/>
          <w:szCs w:val="24"/>
        </w:rPr>
        <w:t>, η οποία ρυθμίζεται στα αρ. 1338 – 1334 του ΒελγΔΚ</w:t>
      </w:r>
      <w:r w:rsidR="00C9797E" w:rsidRPr="00690309">
        <w:rPr>
          <w:rStyle w:val="FootnoteReference"/>
          <w:rFonts w:ascii="Bookman Old Style" w:hAnsi="Bookman Old Style" w:cs="Times New Roman"/>
          <w:sz w:val="24"/>
          <w:szCs w:val="24"/>
        </w:rPr>
        <w:footnoteReference w:id="31"/>
      </w:r>
      <w:r w:rsidR="00C9797E" w:rsidRPr="00690309">
        <w:rPr>
          <w:rFonts w:ascii="Bookman Old Style" w:hAnsi="Bookman Old Style" w:cs="Times New Roman"/>
          <w:sz w:val="24"/>
          <w:szCs w:val="24"/>
        </w:rPr>
        <w:t>. Πρόκειται για μια απλουστευμένη, προαιρετική διαδικασία χορήγησης εκτελεστού τίτλου, η οποία άρχεται με κλήση προς πληρωμή στον οφειλέτη, που επιδίδεται με δικαστικό επιμελητή είτε με συστημένη επιστολή με απόδειξη παραλαβής, και περιλαμβάνει υποχρεωτικά στοιχεία, μεταξύ των οποίων το ποσό που αξιώνεται, το έγγραφο στο οποίο στηρίζεται η απαίτηση</w:t>
      </w:r>
      <w:r w:rsidR="00C9797E" w:rsidRPr="00690309">
        <w:rPr>
          <w:rStyle w:val="FootnoteReference"/>
          <w:rFonts w:ascii="Bookman Old Style" w:hAnsi="Bookman Old Style" w:cs="Times New Roman"/>
          <w:sz w:val="24"/>
          <w:szCs w:val="24"/>
        </w:rPr>
        <w:footnoteReference w:id="32"/>
      </w:r>
      <w:r w:rsidR="00C9797E" w:rsidRPr="00690309">
        <w:rPr>
          <w:rFonts w:ascii="Bookman Old Style" w:hAnsi="Bookman Old Style" w:cs="Times New Roman"/>
          <w:sz w:val="24"/>
          <w:szCs w:val="24"/>
        </w:rPr>
        <w:t>, την αιτία της, καθώς, και το Ειρηνοδικείο που θα επιληφθεί σε 15μερη προθεσμία, επί άπρακτης παρόδου της οποίας κατατίθεται</w:t>
      </w:r>
      <w:r w:rsidR="00C9797E" w:rsidRPr="00690309">
        <w:rPr>
          <w:rStyle w:val="FootnoteReference"/>
          <w:rFonts w:ascii="Bookman Old Style" w:hAnsi="Bookman Old Style" w:cs="Times New Roman"/>
          <w:sz w:val="24"/>
          <w:szCs w:val="24"/>
        </w:rPr>
        <w:footnoteReference w:id="33"/>
      </w:r>
      <w:r w:rsidR="00C9797E" w:rsidRPr="00690309">
        <w:rPr>
          <w:rFonts w:ascii="Bookman Old Style" w:hAnsi="Bookman Old Style" w:cs="Times New Roman"/>
          <w:sz w:val="24"/>
          <w:szCs w:val="24"/>
        </w:rPr>
        <w:t xml:space="preserve"> η αίτηση για τη διαταγή πληρωμής</w:t>
      </w:r>
      <w:r w:rsidR="00C9797E" w:rsidRPr="00690309">
        <w:rPr>
          <w:rStyle w:val="FootnoteReference"/>
          <w:rFonts w:ascii="Bookman Old Style" w:hAnsi="Bookman Old Style" w:cs="Times New Roman"/>
          <w:sz w:val="24"/>
          <w:szCs w:val="24"/>
        </w:rPr>
        <w:footnoteReference w:id="34"/>
      </w:r>
      <w:r w:rsidR="00C9797E" w:rsidRPr="00690309">
        <w:rPr>
          <w:rFonts w:ascii="Bookman Old Style" w:hAnsi="Bookman Old Style" w:cs="Times New Roman"/>
          <w:sz w:val="24"/>
          <w:szCs w:val="24"/>
        </w:rPr>
        <w:t>, σε περίπτωση, δε, που γίνει δεκτή επιδίδεται η απόφαση</w:t>
      </w:r>
      <w:r w:rsidR="00C9797E" w:rsidRPr="00690309">
        <w:rPr>
          <w:rStyle w:val="FootnoteReference"/>
          <w:rFonts w:ascii="Bookman Old Style" w:hAnsi="Bookman Old Style" w:cs="Times New Roman"/>
          <w:sz w:val="24"/>
          <w:szCs w:val="24"/>
        </w:rPr>
        <w:footnoteReference w:id="35"/>
      </w:r>
      <w:r w:rsidR="00C9797E" w:rsidRPr="00690309">
        <w:rPr>
          <w:rFonts w:ascii="Bookman Old Style" w:hAnsi="Bookman Old Style" w:cs="Times New Roman"/>
          <w:sz w:val="24"/>
          <w:szCs w:val="24"/>
        </w:rPr>
        <w:t xml:space="preserve"> στον οφειλέτη, ο οποίος δικαιούται είτε να προβάλλει </w:t>
      </w:r>
      <w:r w:rsidR="007C4787" w:rsidRPr="00690309">
        <w:rPr>
          <w:rFonts w:ascii="Bookman Old Style" w:hAnsi="Bookman Old Style" w:cs="Times New Roman"/>
          <w:sz w:val="24"/>
          <w:szCs w:val="24"/>
        </w:rPr>
        <w:t xml:space="preserve">αιτιολογημένες </w:t>
      </w:r>
      <w:r w:rsidR="00C9797E" w:rsidRPr="00690309">
        <w:rPr>
          <w:rFonts w:ascii="Bookman Old Style" w:hAnsi="Bookman Old Style" w:cs="Times New Roman"/>
          <w:sz w:val="24"/>
          <w:szCs w:val="24"/>
        </w:rPr>
        <w:t>αντιρρήσεις στην έκδοση της είτε στη διαδικασία εκτέλεσής της</w:t>
      </w:r>
      <w:r w:rsidR="00C9797E" w:rsidRPr="00690309">
        <w:rPr>
          <w:rStyle w:val="FootnoteReference"/>
          <w:rFonts w:ascii="Bookman Old Style" w:hAnsi="Bookman Old Style" w:cs="Times New Roman"/>
          <w:sz w:val="24"/>
          <w:szCs w:val="24"/>
        </w:rPr>
        <w:footnoteReference w:id="36"/>
      </w:r>
      <w:r w:rsidR="00C9797E" w:rsidRPr="00690309">
        <w:rPr>
          <w:rFonts w:ascii="Bookman Old Style" w:hAnsi="Bookman Old Style" w:cs="Times New Roman"/>
          <w:sz w:val="24"/>
          <w:szCs w:val="24"/>
        </w:rPr>
        <w:t xml:space="preserve">.  </w:t>
      </w:r>
    </w:p>
    <w:p w:rsidR="00C9797E" w:rsidRDefault="00C44462" w:rsidP="00690309">
      <w:pPr>
        <w:pStyle w:val="NormalWeb"/>
        <w:spacing w:line="360" w:lineRule="auto"/>
        <w:ind w:firstLine="720"/>
        <w:jc w:val="both"/>
        <w:rPr>
          <w:rFonts w:ascii="Bookman Old Style" w:hAnsi="Bookman Old Style"/>
        </w:rPr>
      </w:pPr>
      <w:r>
        <w:rPr>
          <w:rFonts w:ascii="Bookman Old Style" w:hAnsi="Bookman Old Style"/>
        </w:rPr>
        <w:lastRenderedPageBreak/>
        <w:t>Τ</w:t>
      </w:r>
      <w:r w:rsidR="00C9797E" w:rsidRPr="00690309">
        <w:rPr>
          <w:rFonts w:ascii="Bookman Old Style" w:hAnsi="Bookman Old Style"/>
        </w:rPr>
        <w:t xml:space="preserve">ο Δίκαιο του Λουξεμβούργου προβλέπει, </w:t>
      </w:r>
      <w:r w:rsidR="003942DC">
        <w:rPr>
          <w:rFonts w:ascii="Bookman Old Style" w:hAnsi="Bookman Old Style"/>
        </w:rPr>
        <w:t>επίσης, προαιρετικά</w:t>
      </w:r>
      <w:r w:rsidR="00C9797E" w:rsidRPr="00690309">
        <w:rPr>
          <w:rFonts w:ascii="Bookman Old Style" w:hAnsi="Bookman Old Style"/>
        </w:rPr>
        <w:t xml:space="preserve"> απλουστευμένη διαδικασία για την χορήγηση εκτελεστού τίτλου έως το ποσό των 10.000,00 ευρώ ενώπιον του Ειρηνοδικείου</w:t>
      </w:r>
      <w:r w:rsidR="00C9797E" w:rsidRPr="00690309">
        <w:rPr>
          <w:rStyle w:val="FootnoteReference"/>
          <w:rFonts w:ascii="Bookman Old Style" w:hAnsi="Bookman Old Style"/>
        </w:rPr>
        <w:footnoteReference w:id="37"/>
      </w:r>
      <w:r w:rsidR="00C9797E" w:rsidRPr="00690309">
        <w:rPr>
          <w:rFonts w:ascii="Bookman Old Style" w:hAnsi="Bookman Old Style"/>
        </w:rPr>
        <w:t>, που αποκαλείται «διαταγή πληρωμής»</w:t>
      </w:r>
      <w:r w:rsidR="00C9797E" w:rsidRPr="00690309">
        <w:rPr>
          <w:rStyle w:val="FootnoteReference"/>
          <w:rFonts w:ascii="Bookman Old Style" w:hAnsi="Bookman Old Style"/>
        </w:rPr>
        <w:footnoteReference w:id="38"/>
      </w:r>
      <w:r w:rsidR="00C9797E" w:rsidRPr="00690309">
        <w:rPr>
          <w:rFonts w:ascii="Bookman Old Style" w:hAnsi="Bookman Old Style"/>
        </w:rPr>
        <w:t xml:space="preserve"> και ρυθμίζεται, λεπτομερώς, στα αρ. 129 – 143 του νέου</w:t>
      </w:r>
      <w:r w:rsidR="00C9797E" w:rsidRPr="00690309">
        <w:rPr>
          <w:rStyle w:val="FootnoteReference"/>
          <w:rFonts w:ascii="Bookman Old Style" w:hAnsi="Bookman Old Style"/>
        </w:rPr>
        <w:footnoteReference w:id="39"/>
      </w:r>
      <w:r w:rsidR="00C9797E" w:rsidRPr="00690309">
        <w:rPr>
          <w:rFonts w:ascii="Bookman Old Style" w:hAnsi="Bookman Old Style"/>
        </w:rPr>
        <w:t xml:space="preserve"> ΛουξΚΠολΔ</w:t>
      </w:r>
      <w:r w:rsidR="00C9797E" w:rsidRPr="00690309">
        <w:rPr>
          <w:rStyle w:val="FootnoteReference"/>
          <w:rFonts w:ascii="Bookman Old Style" w:hAnsi="Bookman Old Style"/>
        </w:rPr>
        <w:footnoteReference w:id="40"/>
      </w:r>
      <w:r w:rsidR="00C9797E" w:rsidRPr="00690309">
        <w:rPr>
          <w:rFonts w:ascii="Bookman Old Style" w:hAnsi="Bookman Old Style"/>
        </w:rPr>
        <w:t>. Η διαδικασία άρχεται με κατάθεση</w:t>
      </w:r>
      <w:r w:rsidR="00C9797E" w:rsidRPr="00690309">
        <w:rPr>
          <w:rStyle w:val="FootnoteReference"/>
          <w:rFonts w:ascii="Bookman Old Style" w:hAnsi="Bookman Old Style"/>
        </w:rPr>
        <w:footnoteReference w:id="41"/>
      </w:r>
      <w:r w:rsidR="00C9797E" w:rsidRPr="00690309">
        <w:rPr>
          <w:rFonts w:ascii="Bookman Old Style" w:hAnsi="Bookman Old Style"/>
        </w:rPr>
        <w:t xml:space="preserve"> απλής δήλωσης</w:t>
      </w:r>
      <w:r w:rsidR="00C9797E" w:rsidRPr="00690309">
        <w:rPr>
          <w:rStyle w:val="FootnoteReference"/>
          <w:rFonts w:ascii="Bookman Old Style" w:hAnsi="Bookman Old Style"/>
        </w:rPr>
        <w:footnoteReference w:id="42"/>
      </w:r>
      <w:r w:rsidR="00C9797E" w:rsidRPr="00690309">
        <w:rPr>
          <w:rFonts w:ascii="Bookman Old Style" w:hAnsi="Bookman Old Style"/>
        </w:rPr>
        <w:t xml:space="preserve"> στην Γραμματεία του Ειρηνοδικείου, που καταχωρίζεται σε ειδικό, προς τούτο, μητρώο</w:t>
      </w:r>
      <w:r w:rsidR="00C9797E" w:rsidRPr="00690309">
        <w:rPr>
          <w:rStyle w:val="FootnoteReference"/>
          <w:rFonts w:ascii="Bookman Old Style" w:hAnsi="Bookman Old Style"/>
        </w:rPr>
        <w:footnoteReference w:id="43"/>
      </w:r>
      <w:r w:rsidR="00C9797E" w:rsidRPr="00690309">
        <w:rPr>
          <w:rFonts w:ascii="Bookman Old Style" w:hAnsi="Bookman Old Style"/>
        </w:rPr>
        <w:t xml:space="preserve"> και περιλαμβάνει, επί ποινή ακυρότητας, ονοματεπώνυμο, επωνυμία, κατοικία ή έδρα ενάγοντος και εναγόμενου, την αιτία και το ύψος της οφειλής</w:t>
      </w:r>
      <w:r w:rsidR="00C9797E" w:rsidRPr="00690309">
        <w:rPr>
          <w:rStyle w:val="FootnoteReference"/>
          <w:rFonts w:ascii="Bookman Old Style" w:hAnsi="Bookman Old Style"/>
        </w:rPr>
        <w:footnoteReference w:id="44"/>
      </w:r>
      <w:r w:rsidR="00C9797E" w:rsidRPr="00690309">
        <w:rPr>
          <w:rFonts w:ascii="Bookman Old Style" w:hAnsi="Bookman Old Style"/>
        </w:rPr>
        <w:t>, καθώς, και αίτηση για πληρωμή, ενώ, μαζί με τη δήλωση, συνυποβάλλονται όλα τα έγγραφα που δικαιολογούν την ύπαρξη και το ποσό της απαίτησης. Ο Ειρηνοδίκης ελέγχει, αμελλητί, την αίτηση</w:t>
      </w:r>
      <w:r w:rsidR="00C9797E" w:rsidRPr="00690309">
        <w:rPr>
          <w:rStyle w:val="FootnoteReference"/>
          <w:rFonts w:ascii="Bookman Old Style" w:hAnsi="Bookman Old Style"/>
        </w:rPr>
        <w:footnoteReference w:id="45"/>
      </w:r>
      <w:r w:rsidR="00C9797E" w:rsidRPr="00690309">
        <w:rPr>
          <w:rFonts w:ascii="Bookman Old Style" w:hAnsi="Bookman Old Style"/>
        </w:rPr>
        <w:t>, την οποία αν κρίνει αβάσιμη</w:t>
      </w:r>
      <w:r w:rsidR="00C9797E" w:rsidRPr="00690309">
        <w:rPr>
          <w:rStyle w:val="FootnoteReference"/>
          <w:rFonts w:ascii="Bookman Old Style" w:hAnsi="Bookman Old Style"/>
        </w:rPr>
        <w:footnoteReference w:id="46"/>
      </w:r>
      <w:r w:rsidR="00C9797E" w:rsidRPr="00690309">
        <w:rPr>
          <w:rFonts w:ascii="Bookman Old Style" w:hAnsi="Bookman Old Style"/>
        </w:rPr>
        <w:t xml:space="preserve"> απορρίπτει με σχετική εντολή απόρριψης, που καταχωρίζεται στο ως άνω μητρώο του Ειρηνοδικείου και δεν μπορεί να προσβληθεί</w:t>
      </w:r>
      <w:r w:rsidR="00C9797E" w:rsidRPr="00690309">
        <w:rPr>
          <w:rStyle w:val="FootnoteReference"/>
          <w:rFonts w:ascii="Bookman Old Style" w:hAnsi="Bookman Old Style"/>
        </w:rPr>
        <w:footnoteReference w:id="47"/>
      </w:r>
      <w:r w:rsidR="00C9797E" w:rsidRPr="00690309">
        <w:rPr>
          <w:rFonts w:ascii="Bookman Old Style" w:hAnsi="Bookman Old Style"/>
        </w:rPr>
        <w:t>, ενώ, επί παραδοχής</w:t>
      </w:r>
      <w:r w:rsidR="00C9797E" w:rsidRPr="00690309">
        <w:rPr>
          <w:rStyle w:val="FootnoteReference"/>
          <w:rFonts w:ascii="Bookman Old Style" w:hAnsi="Bookman Old Style"/>
        </w:rPr>
        <w:footnoteReference w:id="48"/>
      </w:r>
      <w:r w:rsidR="00C9797E" w:rsidRPr="00690309">
        <w:rPr>
          <w:rFonts w:ascii="Bookman Old Style" w:hAnsi="Bookman Old Style"/>
        </w:rPr>
        <w:t xml:space="preserve"> της, εκδίδει τη διαταγή πληρωμής, με παραγγελία να επιδοθεί στον οφειλέτη, μαζί με αντίγραφο της αίτησης και των αποδεικτικών της εγγράφων, εντός προθεσμίας 15 ημερών και σημείωση </w:t>
      </w:r>
      <w:r w:rsidR="00C9797E" w:rsidRPr="00690309">
        <w:rPr>
          <w:rFonts w:ascii="Bookman Old Style" w:hAnsi="Bookman Old Style"/>
        </w:rPr>
        <w:lastRenderedPageBreak/>
        <w:t>ότι στην ιδία προθεσμία μπορεί να προβάλλει αντιρρήσεις στην έκδοσή της</w:t>
      </w:r>
      <w:r w:rsidR="00C9797E" w:rsidRPr="00690309">
        <w:rPr>
          <w:rStyle w:val="FootnoteReference"/>
          <w:rFonts w:ascii="Bookman Old Style" w:hAnsi="Bookman Old Style"/>
        </w:rPr>
        <w:footnoteReference w:id="49"/>
      </w:r>
      <w:r w:rsidR="00C9797E" w:rsidRPr="00690309">
        <w:rPr>
          <w:rFonts w:ascii="Bookman Old Style" w:hAnsi="Bookman Old Style"/>
        </w:rPr>
        <w:t>. Οι αντιρρήσεις, με συνοπτική παρουσίαση των λόγων τους, ασκούνται</w:t>
      </w:r>
      <w:r w:rsidR="00C9797E" w:rsidRPr="00690309">
        <w:rPr>
          <w:rStyle w:val="FootnoteReference"/>
          <w:rFonts w:ascii="Bookman Old Style" w:hAnsi="Bookman Old Style"/>
        </w:rPr>
        <w:footnoteReference w:id="50"/>
      </w:r>
      <w:r w:rsidR="00C9797E" w:rsidRPr="00690309">
        <w:rPr>
          <w:rFonts w:ascii="Bookman Old Style" w:hAnsi="Bookman Old Style"/>
        </w:rPr>
        <w:t xml:space="preserve"> με απλή, γραπτή ή προφορική, δήλωση του τελευταίου στην Γραμματεία, που καταχωρείται, ομοίως στο μητρώο, ο, δε, Γραμματέας χορηγεί απόδειξη για την κατάθεσή τους ενημερώνει, προς τούτο, τον ενάγοντα</w:t>
      </w:r>
      <w:r w:rsidR="00C9797E" w:rsidRPr="00690309">
        <w:rPr>
          <w:rStyle w:val="FootnoteReference"/>
          <w:rFonts w:ascii="Bookman Old Style" w:hAnsi="Bookman Old Style"/>
        </w:rPr>
        <w:footnoteReference w:id="51"/>
      </w:r>
      <w:r w:rsidR="00C9797E" w:rsidRPr="00690309">
        <w:rPr>
          <w:rFonts w:ascii="Bookman Old Style" w:hAnsi="Bookman Old Style"/>
        </w:rPr>
        <w:t xml:space="preserve"> και κλητεύει τους διαδίκους για επ’ ακροατηρίω συζήτηση της διαφοράς</w:t>
      </w:r>
      <w:r w:rsidR="00C9797E" w:rsidRPr="00690309">
        <w:rPr>
          <w:rStyle w:val="FootnoteReference"/>
          <w:rFonts w:ascii="Bookman Old Style" w:hAnsi="Bookman Old Style"/>
        </w:rPr>
        <w:footnoteReference w:id="52"/>
      </w:r>
      <w:r w:rsidR="00C9797E" w:rsidRPr="00690309">
        <w:rPr>
          <w:rFonts w:ascii="Bookman Old Style" w:hAnsi="Bookman Old Style"/>
        </w:rPr>
        <w:t xml:space="preserve"> εντός οκτώ ημερών, οπότε και η διαδικασία συνεχίζεται κατά τους κοινούς δικονομικούς κανόνες</w:t>
      </w:r>
      <w:r w:rsidR="00C9797E" w:rsidRPr="00690309">
        <w:rPr>
          <w:rStyle w:val="FootnoteReference"/>
          <w:rFonts w:ascii="Bookman Old Style" w:hAnsi="Bookman Old Style"/>
        </w:rPr>
        <w:footnoteReference w:id="53"/>
      </w:r>
      <w:r w:rsidR="00C9797E" w:rsidRPr="00690309">
        <w:rPr>
          <w:rFonts w:ascii="Bookman Old Style" w:hAnsi="Bookman Old Style"/>
        </w:rPr>
        <w:t>. Με την άπρακτη πάροδο προθεσμίας αντιρρήσεων, είτε με την επ’ ακροατηρίω απόρριψή τους, ο ενάγων έχει δικαίωμα να ζητήσει την κήρυξη εκτελεστότητας της διαταγής πληρωμής</w:t>
      </w:r>
      <w:r w:rsidR="00C9797E" w:rsidRPr="00690309">
        <w:rPr>
          <w:rStyle w:val="FootnoteReference"/>
          <w:rFonts w:ascii="Bookman Old Style" w:hAnsi="Bookman Old Style"/>
        </w:rPr>
        <w:footnoteReference w:id="54"/>
      </w:r>
      <w:r w:rsidR="00C9797E" w:rsidRPr="00690309">
        <w:rPr>
          <w:rFonts w:ascii="Bookman Old Style" w:hAnsi="Bookman Old Style"/>
        </w:rPr>
        <w:t xml:space="preserve">. </w:t>
      </w:r>
    </w:p>
    <w:p w:rsidR="007371B1" w:rsidRDefault="003942DC" w:rsidP="007371B1">
      <w:pPr>
        <w:spacing w:line="360" w:lineRule="auto"/>
        <w:ind w:firstLine="720"/>
        <w:jc w:val="both"/>
        <w:rPr>
          <w:rFonts w:ascii="Bookman Old Style" w:hAnsi="Bookman Old Style"/>
        </w:rPr>
      </w:pPr>
      <w:r>
        <w:rPr>
          <w:rFonts w:ascii="Bookman Old Style" w:hAnsi="Bookman Old Style"/>
        </w:rPr>
        <w:t xml:space="preserve">Β. </w:t>
      </w:r>
      <w:r w:rsidRPr="007371B1">
        <w:rPr>
          <w:rFonts w:ascii="Bookman Old Style" w:hAnsi="Bookman Old Style" w:cs="Times New Roman"/>
          <w:sz w:val="24"/>
          <w:szCs w:val="24"/>
        </w:rPr>
        <w:t xml:space="preserve">Αντίστοιχα, δεν υφίστανται stricto sensu μικροδιαφορές σε </w:t>
      </w:r>
      <w:r w:rsidR="007C522D">
        <w:rPr>
          <w:rFonts w:ascii="Bookman Old Style" w:hAnsi="Bookman Old Style" w:cs="Times New Roman"/>
          <w:sz w:val="24"/>
          <w:szCs w:val="24"/>
        </w:rPr>
        <w:t>1</w:t>
      </w:r>
      <w:r w:rsidR="007F0AEF">
        <w:rPr>
          <w:rFonts w:ascii="Bookman Old Style" w:hAnsi="Bookman Old Style" w:cs="Times New Roman"/>
          <w:sz w:val="24"/>
          <w:szCs w:val="24"/>
        </w:rPr>
        <w:t>0</w:t>
      </w:r>
      <w:r w:rsidR="006A4DC9">
        <w:rPr>
          <w:rFonts w:ascii="Bookman Old Style" w:hAnsi="Bookman Old Style" w:cs="Times New Roman"/>
          <w:sz w:val="24"/>
          <w:szCs w:val="24"/>
        </w:rPr>
        <w:t xml:space="preserve"> κράτη μέλη και, δη, στην </w:t>
      </w:r>
      <w:r w:rsidRPr="007371B1">
        <w:rPr>
          <w:rFonts w:ascii="Bookman Old Style" w:hAnsi="Bookman Old Style" w:cs="Times New Roman"/>
          <w:sz w:val="24"/>
          <w:szCs w:val="24"/>
        </w:rPr>
        <w:t>Αυστρία</w:t>
      </w:r>
      <w:r w:rsidR="006A4DC9">
        <w:rPr>
          <w:rFonts w:ascii="Bookman Old Style" w:hAnsi="Bookman Old Style" w:cs="Times New Roman"/>
          <w:sz w:val="24"/>
          <w:szCs w:val="24"/>
        </w:rPr>
        <w:t xml:space="preserve">, </w:t>
      </w:r>
      <w:r w:rsidR="00E3213F" w:rsidRPr="007C522D">
        <w:rPr>
          <w:rFonts w:ascii="Bookman Old Style" w:hAnsi="Bookman Old Style"/>
          <w:sz w:val="24"/>
          <w:szCs w:val="24"/>
        </w:rPr>
        <w:t>στην Εσθονία</w:t>
      </w:r>
      <w:r w:rsidR="00E3213F" w:rsidRPr="000B2E74">
        <w:rPr>
          <w:rStyle w:val="FootnoteReference"/>
          <w:rFonts w:ascii="Bookman Old Style" w:hAnsi="Bookman Old Style"/>
          <w:sz w:val="24"/>
          <w:szCs w:val="24"/>
        </w:rPr>
        <w:footnoteReference w:id="55"/>
      </w:r>
      <w:r w:rsidR="00E3213F" w:rsidRPr="00690309">
        <w:rPr>
          <w:rFonts w:ascii="Bookman Old Style" w:hAnsi="Bookman Old Style"/>
        </w:rPr>
        <w:t xml:space="preserve">, </w:t>
      </w:r>
      <w:r w:rsidR="006A4DC9">
        <w:rPr>
          <w:rFonts w:ascii="Bookman Old Style" w:hAnsi="Bookman Old Style" w:cs="Times New Roman"/>
          <w:sz w:val="24"/>
          <w:szCs w:val="24"/>
        </w:rPr>
        <w:t>στην Γαλλία</w:t>
      </w:r>
      <w:r w:rsidR="008903D2" w:rsidRPr="007371B1">
        <w:rPr>
          <w:rFonts w:ascii="Bookman Old Style" w:hAnsi="Bookman Old Style" w:cs="Times New Roman"/>
          <w:sz w:val="24"/>
          <w:szCs w:val="24"/>
        </w:rPr>
        <w:t xml:space="preserve">, </w:t>
      </w:r>
      <w:r w:rsidR="006A4DC9">
        <w:rPr>
          <w:rFonts w:ascii="Bookman Old Style" w:hAnsi="Bookman Old Style" w:cs="Times New Roman"/>
          <w:sz w:val="24"/>
          <w:szCs w:val="24"/>
        </w:rPr>
        <w:t xml:space="preserve">στην </w:t>
      </w:r>
      <w:r w:rsidR="008903D2" w:rsidRPr="007371B1">
        <w:rPr>
          <w:rFonts w:ascii="Bookman Old Style" w:hAnsi="Bookman Old Style" w:cs="Times New Roman"/>
          <w:sz w:val="24"/>
          <w:szCs w:val="24"/>
        </w:rPr>
        <w:lastRenderedPageBreak/>
        <w:t>Γερμανία</w:t>
      </w:r>
      <w:r w:rsidR="00931119">
        <w:rPr>
          <w:rFonts w:ascii="Bookman Old Style" w:hAnsi="Bookman Old Style" w:cs="Times New Roman"/>
          <w:sz w:val="24"/>
          <w:szCs w:val="24"/>
        </w:rPr>
        <w:t>,</w:t>
      </w:r>
      <w:r w:rsidR="008903D2" w:rsidRPr="007371B1">
        <w:rPr>
          <w:rFonts w:ascii="Bookman Old Style" w:hAnsi="Bookman Old Style" w:cs="Times New Roman"/>
          <w:sz w:val="24"/>
          <w:szCs w:val="24"/>
        </w:rPr>
        <w:t xml:space="preserve"> </w:t>
      </w:r>
      <w:r w:rsidR="006A4DC9">
        <w:rPr>
          <w:rFonts w:ascii="Bookman Old Style" w:hAnsi="Bookman Old Style" w:cs="Times New Roman"/>
          <w:sz w:val="24"/>
          <w:szCs w:val="24"/>
        </w:rPr>
        <w:t xml:space="preserve">στην </w:t>
      </w:r>
      <w:r w:rsidR="007371B1" w:rsidRPr="007371B1">
        <w:rPr>
          <w:rFonts w:ascii="Bookman Old Style" w:hAnsi="Bookman Old Style" w:cs="Times New Roman"/>
          <w:sz w:val="24"/>
          <w:szCs w:val="24"/>
        </w:rPr>
        <w:t>Ιταλία</w:t>
      </w:r>
      <w:r w:rsidR="00931119">
        <w:rPr>
          <w:rFonts w:ascii="Bookman Old Style" w:hAnsi="Bookman Old Style" w:cs="Times New Roman"/>
          <w:sz w:val="24"/>
          <w:szCs w:val="24"/>
        </w:rPr>
        <w:t>,</w:t>
      </w:r>
      <w:r w:rsidR="007371B1" w:rsidRPr="007371B1">
        <w:rPr>
          <w:rFonts w:ascii="Bookman Old Style" w:hAnsi="Bookman Old Style" w:cs="Times New Roman"/>
          <w:sz w:val="24"/>
          <w:szCs w:val="24"/>
        </w:rPr>
        <w:t xml:space="preserve"> </w:t>
      </w:r>
      <w:r w:rsidR="006A4DC9">
        <w:rPr>
          <w:rFonts w:ascii="Bookman Old Style" w:hAnsi="Bookman Old Style" w:cs="Times New Roman"/>
          <w:sz w:val="24"/>
          <w:szCs w:val="24"/>
        </w:rPr>
        <w:t xml:space="preserve">στην </w:t>
      </w:r>
      <w:r w:rsidR="006A4DC9" w:rsidRPr="00690309">
        <w:rPr>
          <w:rFonts w:ascii="Bookman Old Style" w:eastAsia="Times New Roman" w:hAnsi="Bookman Old Style" w:cs="Times New Roman"/>
          <w:sz w:val="24"/>
          <w:szCs w:val="24"/>
        </w:rPr>
        <w:t>Ουγγαρία</w:t>
      </w:r>
      <w:r w:rsidR="006A4DC9" w:rsidRPr="00690309">
        <w:rPr>
          <w:rStyle w:val="FootnoteReference"/>
          <w:rFonts w:ascii="Bookman Old Style" w:eastAsia="Times New Roman" w:hAnsi="Bookman Old Style" w:cs="Times New Roman"/>
          <w:sz w:val="24"/>
          <w:szCs w:val="24"/>
        </w:rPr>
        <w:footnoteReference w:id="56"/>
      </w:r>
      <w:r w:rsidR="006A4DC9">
        <w:rPr>
          <w:rFonts w:ascii="Bookman Old Style" w:eastAsia="Times New Roman" w:hAnsi="Bookman Old Style" w:cs="Times New Roman"/>
          <w:sz w:val="24"/>
          <w:szCs w:val="24"/>
        </w:rPr>
        <w:t xml:space="preserve">, στην </w:t>
      </w:r>
      <w:r w:rsidR="00AE30FA" w:rsidRPr="007C522D">
        <w:rPr>
          <w:rFonts w:ascii="Bookman Old Style" w:hAnsi="Bookman Old Style"/>
          <w:sz w:val="24"/>
          <w:szCs w:val="24"/>
        </w:rPr>
        <w:t>Ολλανδία</w:t>
      </w:r>
      <w:r w:rsidR="00AE30FA" w:rsidRPr="000B2E74">
        <w:rPr>
          <w:rStyle w:val="FootnoteReference"/>
          <w:rFonts w:ascii="Bookman Old Style" w:hAnsi="Bookman Old Style"/>
          <w:sz w:val="24"/>
          <w:szCs w:val="24"/>
        </w:rPr>
        <w:footnoteReference w:id="57"/>
      </w:r>
      <w:r w:rsidR="006A4DC9">
        <w:rPr>
          <w:rFonts w:ascii="Bookman Old Style" w:hAnsi="Bookman Old Style"/>
        </w:rPr>
        <w:t xml:space="preserve">, </w:t>
      </w:r>
      <w:r w:rsidR="000B2E74" w:rsidRPr="00690309">
        <w:rPr>
          <w:rFonts w:ascii="Bookman Old Style" w:eastAsia="Times New Roman" w:hAnsi="Bookman Old Style" w:cs="Times New Roman"/>
          <w:sz w:val="24"/>
          <w:szCs w:val="24"/>
        </w:rPr>
        <w:t>Σλοβακία</w:t>
      </w:r>
      <w:r w:rsidR="000B2E74" w:rsidRPr="00690309">
        <w:rPr>
          <w:rStyle w:val="FootnoteReference"/>
          <w:rFonts w:ascii="Bookman Old Style" w:eastAsia="Times New Roman" w:hAnsi="Bookman Old Style" w:cs="Times New Roman"/>
          <w:sz w:val="24"/>
          <w:szCs w:val="24"/>
        </w:rPr>
        <w:footnoteReference w:id="58"/>
      </w:r>
      <w:r w:rsidR="007C522D">
        <w:rPr>
          <w:rFonts w:ascii="Bookman Old Style" w:eastAsia="Times New Roman" w:hAnsi="Bookman Old Style" w:cs="Times New Roman"/>
          <w:sz w:val="24"/>
          <w:szCs w:val="24"/>
        </w:rPr>
        <w:t xml:space="preserve">, </w:t>
      </w:r>
      <w:r w:rsidR="006A4DC9" w:rsidRPr="007C522D">
        <w:rPr>
          <w:rFonts w:ascii="Bookman Old Style" w:hAnsi="Bookman Old Style"/>
          <w:sz w:val="24"/>
          <w:szCs w:val="24"/>
        </w:rPr>
        <w:t>στην</w:t>
      </w:r>
      <w:r w:rsidR="008903D2" w:rsidRPr="007C522D">
        <w:rPr>
          <w:rFonts w:ascii="Bookman Old Style" w:hAnsi="Bookman Old Style" w:cs="Times New Roman"/>
          <w:sz w:val="24"/>
          <w:szCs w:val="24"/>
        </w:rPr>
        <w:t xml:space="preserve"> Πορτογαλία</w:t>
      </w:r>
      <w:r w:rsidR="007371B1" w:rsidRPr="007371B1">
        <w:rPr>
          <w:rFonts w:ascii="Bookman Old Style" w:hAnsi="Bookman Old Style" w:cs="Times New Roman"/>
          <w:sz w:val="24"/>
          <w:szCs w:val="24"/>
        </w:rPr>
        <w:t xml:space="preserve"> και στην Φινλανδία. Εξ αυτών:</w:t>
      </w:r>
      <w:r w:rsidR="007371B1">
        <w:rPr>
          <w:rFonts w:ascii="Bookman Old Style" w:hAnsi="Bookman Old Style"/>
        </w:rPr>
        <w:t xml:space="preserve"> </w:t>
      </w:r>
    </w:p>
    <w:p w:rsidR="007371B1" w:rsidRPr="00690309" w:rsidRDefault="007371B1" w:rsidP="007371B1">
      <w:pPr>
        <w:spacing w:line="360" w:lineRule="auto"/>
        <w:ind w:firstLine="720"/>
        <w:jc w:val="both"/>
        <w:rPr>
          <w:rFonts w:ascii="Bookman Old Style" w:hAnsi="Bookman Old Style" w:cs="Times New Roman"/>
          <w:sz w:val="24"/>
          <w:szCs w:val="24"/>
        </w:rPr>
      </w:pPr>
      <w:r w:rsidRPr="00690309">
        <w:rPr>
          <w:rFonts w:ascii="Bookman Old Style" w:hAnsi="Bookman Old Style" w:cs="Times New Roman"/>
          <w:sz w:val="24"/>
          <w:szCs w:val="24"/>
        </w:rPr>
        <w:t>Στα Πρωτοβάθμια Δικαστήρια της Αυστρίας η συνήθης διαδικασία στηρίζεται στην προφορική</w:t>
      </w:r>
      <w:r w:rsidRPr="00690309">
        <w:rPr>
          <w:rStyle w:val="FootnoteReference"/>
          <w:rFonts w:ascii="Bookman Old Style" w:hAnsi="Bookman Old Style" w:cs="Times New Roman"/>
          <w:sz w:val="24"/>
          <w:szCs w:val="24"/>
        </w:rPr>
        <w:footnoteReference w:id="59"/>
      </w:r>
      <w:r w:rsidRPr="00690309">
        <w:rPr>
          <w:rFonts w:ascii="Bookman Old Style" w:hAnsi="Bookman Old Style" w:cs="Times New Roman"/>
          <w:sz w:val="24"/>
          <w:szCs w:val="24"/>
        </w:rPr>
        <w:t xml:space="preserve"> ακρόαση των ισχυρισμών, που έχουν, προκατα</w:t>
      </w:r>
      <w:r w:rsidR="00F0627F">
        <w:rPr>
          <w:rFonts w:ascii="Bookman Old Style" w:hAnsi="Bookman Old Style" w:cs="Times New Roman"/>
          <w:sz w:val="24"/>
          <w:szCs w:val="24"/>
        </w:rPr>
        <w:t>ρ</w:t>
      </w:r>
      <w:r w:rsidRPr="00690309">
        <w:rPr>
          <w:rFonts w:ascii="Bookman Old Style" w:hAnsi="Bookman Old Style" w:cs="Times New Roman"/>
          <w:sz w:val="24"/>
          <w:szCs w:val="24"/>
        </w:rPr>
        <w:t>κτικά</w:t>
      </w:r>
      <w:r w:rsidRPr="00690309">
        <w:rPr>
          <w:rFonts w:ascii="Bookman Old Style" w:hAnsi="Bookman Old Style" w:cs="Times New Roman"/>
          <w:sz w:val="24"/>
          <w:szCs w:val="24"/>
          <w:vertAlign w:val="superscript"/>
        </w:rPr>
        <w:footnoteReference w:id="60"/>
      </w:r>
      <w:r w:rsidRPr="00690309">
        <w:rPr>
          <w:rFonts w:ascii="Bookman Old Style" w:hAnsi="Bookman Old Style" w:cs="Times New Roman"/>
          <w:sz w:val="24"/>
          <w:szCs w:val="24"/>
        </w:rPr>
        <w:t>, εισφερθεί. Ως προϋπόθεση του παραδεκτού, όμως, για την εισαγωγή σε Δίκη τίθεται να έχει ακολουθηθεί, υποχρεωτικά</w:t>
      </w:r>
      <w:r w:rsidRPr="00690309">
        <w:rPr>
          <w:rStyle w:val="FootnoteReference"/>
          <w:rFonts w:ascii="Bookman Old Style" w:hAnsi="Bookman Old Style" w:cs="Times New Roman"/>
          <w:sz w:val="24"/>
          <w:szCs w:val="24"/>
        </w:rPr>
        <w:footnoteReference w:id="61"/>
      </w:r>
      <w:r w:rsidRPr="00690309">
        <w:rPr>
          <w:rFonts w:ascii="Bookman Old Style" w:hAnsi="Bookman Old Style" w:cs="Times New Roman"/>
          <w:sz w:val="24"/>
          <w:szCs w:val="24"/>
        </w:rPr>
        <w:t xml:space="preserve">, η </w:t>
      </w:r>
      <w:r w:rsidRPr="00690309">
        <w:rPr>
          <w:rFonts w:ascii="Bookman Old Style" w:hAnsi="Bookman Old Style" w:cs="Times New Roman"/>
          <w:sz w:val="24"/>
          <w:szCs w:val="24"/>
        </w:rPr>
        <w:lastRenderedPageBreak/>
        <w:t>σύντομη, απλουστευμένη διαδικασία «διαταγής πληρωμής»</w:t>
      </w:r>
      <w:r w:rsidRPr="00690309">
        <w:rPr>
          <w:rStyle w:val="FootnoteReference"/>
          <w:rFonts w:ascii="Bookman Old Style" w:hAnsi="Bookman Old Style" w:cs="Times New Roman"/>
          <w:sz w:val="24"/>
          <w:szCs w:val="24"/>
        </w:rPr>
        <w:footnoteReference w:id="62"/>
      </w:r>
      <w:r w:rsidRPr="00690309">
        <w:rPr>
          <w:rFonts w:ascii="Bookman Old Style" w:hAnsi="Bookman Old Style" w:cs="Times New Roman"/>
          <w:sz w:val="24"/>
          <w:szCs w:val="24"/>
        </w:rPr>
        <w:t>, που προβλέπεται  στα αρ. 244 – 251 ΑυστρΚΠολΔ</w:t>
      </w:r>
      <w:r w:rsidRPr="00690309">
        <w:rPr>
          <w:rStyle w:val="FootnoteReference"/>
          <w:rFonts w:ascii="Bookman Old Style" w:hAnsi="Bookman Old Style" w:cs="Times New Roman"/>
          <w:sz w:val="24"/>
          <w:szCs w:val="24"/>
        </w:rPr>
        <w:footnoteReference w:id="63"/>
      </w:r>
      <w:r w:rsidRPr="00690309">
        <w:rPr>
          <w:rFonts w:ascii="Bookman Old Style" w:hAnsi="Bookman Old Style" w:cs="Times New Roman"/>
          <w:sz w:val="24"/>
          <w:szCs w:val="24"/>
        </w:rPr>
        <w:t xml:space="preserve"> για την χορήγηση εκτελεστού τίτλου έως το ποσό των 75.000,00 ευρώ, η οποία μπορεί να λάβεί χώρα, ήδη</w:t>
      </w:r>
      <w:r w:rsidRPr="00690309">
        <w:rPr>
          <w:rStyle w:val="FootnoteReference"/>
          <w:rFonts w:ascii="Bookman Old Style" w:hAnsi="Bookman Old Style" w:cs="Times New Roman"/>
          <w:sz w:val="24"/>
          <w:szCs w:val="24"/>
        </w:rPr>
        <w:footnoteReference w:id="64"/>
      </w:r>
      <w:r w:rsidRPr="00690309">
        <w:rPr>
          <w:rFonts w:ascii="Bookman Old Style" w:hAnsi="Bookman Old Style" w:cs="Times New Roman"/>
          <w:sz w:val="24"/>
          <w:szCs w:val="24"/>
        </w:rPr>
        <w:t>, αποκλειστικά ηλεκτρονικά στον ιστότοπο «</w:t>
      </w:r>
      <w:hyperlink r:id="rId8" w:history="1">
        <w:r w:rsidRPr="00690309">
          <w:rPr>
            <w:rStyle w:val="Hyperlink"/>
            <w:rFonts w:ascii="Bookman Old Style" w:hAnsi="Bookman Old Style" w:cs="Times New Roman"/>
            <w:sz w:val="24"/>
            <w:szCs w:val="24"/>
          </w:rPr>
          <w:t>https://portal.justiz.gv.at/</w:t>
        </w:r>
      </w:hyperlink>
      <w:r w:rsidRPr="00690309">
        <w:rPr>
          <w:rFonts w:ascii="Bookman Old Style" w:hAnsi="Bookman Old Style" w:cs="Times New Roman"/>
          <w:sz w:val="24"/>
          <w:szCs w:val="24"/>
        </w:rPr>
        <w:t>». Επί τη βάσει προδιατυπωμένων εντύπων</w:t>
      </w:r>
      <w:r w:rsidRPr="00690309">
        <w:rPr>
          <w:rStyle w:val="FootnoteReference"/>
          <w:rFonts w:ascii="Bookman Old Style" w:hAnsi="Bookman Old Style" w:cs="Times New Roman"/>
          <w:sz w:val="24"/>
          <w:szCs w:val="24"/>
        </w:rPr>
        <w:footnoteReference w:id="65"/>
      </w:r>
      <w:r w:rsidRPr="00690309">
        <w:rPr>
          <w:rFonts w:ascii="Bookman Old Style" w:hAnsi="Bookman Old Style" w:cs="Times New Roman"/>
          <w:sz w:val="24"/>
          <w:szCs w:val="24"/>
        </w:rPr>
        <w:t>, ο αιτών καταθέτει την αίτησή του και εκδίδεται</w:t>
      </w:r>
      <w:r w:rsidRPr="00690309">
        <w:rPr>
          <w:rStyle w:val="FootnoteReference"/>
          <w:rFonts w:ascii="Bookman Old Style" w:hAnsi="Bookman Old Style" w:cs="Times New Roman"/>
          <w:sz w:val="24"/>
          <w:szCs w:val="24"/>
        </w:rPr>
        <w:footnoteReference w:id="66"/>
      </w:r>
      <w:r w:rsidRPr="00690309">
        <w:rPr>
          <w:rFonts w:ascii="Bookman Old Style" w:hAnsi="Bookman Old Style" w:cs="Times New Roman"/>
          <w:sz w:val="24"/>
          <w:szCs w:val="24"/>
        </w:rPr>
        <w:t xml:space="preserve"> σε απλοποιημένη μορφή και με την χρήση αντιγράφου της αξίωσης</w:t>
      </w:r>
      <w:r w:rsidRPr="00690309">
        <w:rPr>
          <w:rStyle w:val="FootnoteReference"/>
          <w:rFonts w:ascii="Bookman Old Style" w:hAnsi="Bookman Old Style" w:cs="Times New Roman"/>
          <w:sz w:val="24"/>
          <w:szCs w:val="24"/>
        </w:rPr>
        <w:footnoteReference w:id="67"/>
      </w:r>
      <w:r w:rsidRPr="00690309">
        <w:rPr>
          <w:rFonts w:ascii="Bookman Old Style" w:hAnsi="Bookman Old Style" w:cs="Times New Roman"/>
          <w:sz w:val="24"/>
          <w:szCs w:val="24"/>
        </w:rPr>
        <w:t xml:space="preserve"> «υπό όρους εντολή πληρωμής»</w:t>
      </w:r>
      <w:r w:rsidRPr="00690309">
        <w:rPr>
          <w:rStyle w:val="FootnoteReference"/>
          <w:rFonts w:ascii="Bookman Old Style" w:hAnsi="Bookman Old Style" w:cs="Times New Roman"/>
          <w:sz w:val="24"/>
          <w:szCs w:val="24"/>
        </w:rPr>
        <w:t xml:space="preserve"> </w:t>
      </w:r>
      <w:r w:rsidRPr="00690309">
        <w:rPr>
          <w:rStyle w:val="FootnoteReference"/>
          <w:rFonts w:ascii="Bookman Old Style" w:hAnsi="Bookman Old Style" w:cs="Times New Roman"/>
          <w:sz w:val="24"/>
          <w:szCs w:val="24"/>
        </w:rPr>
        <w:footnoteReference w:id="68"/>
      </w:r>
      <w:r w:rsidRPr="00690309">
        <w:rPr>
          <w:rFonts w:ascii="Bookman Old Style" w:hAnsi="Bookman Old Style" w:cs="Times New Roman"/>
          <w:sz w:val="24"/>
          <w:szCs w:val="24"/>
        </w:rPr>
        <w:t>, η οποία πρέπει να περιέχει την αυτή επιγραφή, εντολή προς τον καθ’ ου να καταβάλει την αξίωση από την παραλαβή, συμπεριλαμβανομένων τόκων και εξόδων, άλλως, αν την αρνείται να την προσβάλει σε προθεσμία τεσσάρων (4) εβδομάδων, καθώς, και υπόμνηση στον τελευταίο ότι με την έγκαιρη προβολή ανακοπής θα πάψει να ισχύει η εντολή και ότι, σε αυτήν την περίπτωση, θα ακολουθηθεί η κοινή διαδικασία για τη διάγνωση της αξίωσης</w:t>
      </w:r>
      <w:r w:rsidRPr="00690309">
        <w:rPr>
          <w:rStyle w:val="FootnoteReference"/>
          <w:rFonts w:ascii="Bookman Old Style" w:hAnsi="Bookman Old Style" w:cs="Times New Roman"/>
          <w:sz w:val="24"/>
          <w:szCs w:val="24"/>
        </w:rPr>
        <w:footnoteReference w:id="69"/>
      </w:r>
      <w:r w:rsidRPr="00690309">
        <w:rPr>
          <w:rFonts w:ascii="Bookman Old Style" w:hAnsi="Bookman Old Style" w:cs="Times New Roman"/>
          <w:sz w:val="24"/>
          <w:szCs w:val="24"/>
        </w:rPr>
        <w:t>. Κατά της εντολής δεν επιτρέπεται ένδικο μέσο</w:t>
      </w:r>
      <w:r w:rsidRPr="00690309">
        <w:rPr>
          <w:rStyle w:val="FootnoteReference"/>
          <w:rFonts w:ascii="Bookman Old Style" w:hAnsi="Bookman Old Style" w:cs="Times New Roman"/>
          <w:sz w:val="24"/>
          <w:szCs w:val="24"/>
        </w:rPr>
        <w:footnoteReference w:id="70"/>
      </w:r>
      <w:r w:rsidRPr="00690309">
        <w:rPr>
          <w:rFonts w:ascii="Bookman Old Style" w:hAnsi="Bookman Old Style" w:cs="Times New Roman"/>
          <w:sz w:val="24"/>
          <w:szCs w:val="24"/>
        </w:rPr>
        <w:t>, με την έγκαιρη υποβολή αιτιολογημένης ανακοπής απολύεται η ισχύς της και ο Πρόεδρος του Δικαστηρίου εισάγει τη διαφορά πρός ακρόαση</w:t>
      </w:r>
      <w:r w:rsidRPr="00690309">
        <w:rPr>
          <w:rStyle w:val="FootnoteReference"/>
          <w:rFonts w:ascii="Bookman Old Style" w:hAnsi="Bookman Old Style" w:cs="Times New Roman"/>
          <w:sz w:val="24"/>
          <w:szCs w:val="24"/>
        </w:rPr>
        <w:footnoteReference w:id="71"/>
      </w:r>
      <w:r w:rsidRPr="00690309">
        <w:rPr>
          <w:rFonts w:ascii="Bookman Old Style" w:hAnsi="Bookman Old Style" w:cs="Times New Roman"/>
          <w:sz w:val="24"/>
          <w:szCs w:val="24"/>
        </w:rPr>
        <w:t>, ενώ, η εκπρόθεσμη τέτοια απορρίπτεται αμελλητί και χωρίς Δίκη</w:t>
      </w:r>
      <w:r w:rsidRPr="00690309">
        <w:rPr>
          <w:rStyle w:val="FootnoteReference"/>
          <w:rFonts w:ascii="Bookman Old Style" w:hAnsi="Bookman Old Style" w:cs="Times New Roman"/>
          <w:sz w:val="24"/>
          <w:szCs w:val="24"/>
        </w:rPr>
        <w:footnoteReference w:id="72"/>
      </w:r>
      <w:r w:rsidRPr="00690309">
        <w:rPr>
          <w:rFonts w:ascii="Bookman Old Style" w:hAnsi="Bookman Old Style" w:cs="Times New Roman"/>
          <w:sz w:val="24"/>
          <w:szCs w:val="24"/>
        </w:rPr>
        <w:t xml:space="preserve">, η, δε, άπρακτη πάροδος της προθεσμίας της οδηγεί στην οριστικοποίηση της εντολής, η οποία καθίσταται εκτελεστή και αποτελεί τίτλο για την είσπραξη της </w:t>
      </w:r>
      <w:r w:rsidRPr="00690309">
        <w:rPr>
          <w:rFonts w:ascii="Bookman Old Style" w:hAnsi="Bookman Old Style" w:cs="Times New Roman"/>
          <w:sz w:val="24"/>
          <w:szCs w:val="24"/>
        </w:rPr>
        <w:lastRenderedPageBreak/>
        <w:t>απαίτησης</w:t>
      </w:r>
      <w:r w:rsidRPr="00690309">
        <w:rPr>
          <w:rStyle w:val="FootnoteReference"/>
          <w:rFonts w:ascii="Bookman Old Style" w:hAnsi="Bookman Old Style" w:cs="Times New Roman"/>
          <w:sz w:val="24"/>
          <w:szCs w:val="24"/>
        </w:rPr>
        <w:footnoteReference w:id="73"/>
      </w:r>
      <w:r w:rsidRPr="00690309">
        <w:rPr>
          <w:rFonts w:ascii="Bookman Old Style" w:hAnsi="Bookman Old Style" w:cs="Times New Roman"/>
          <w:sz w:val="24"/>
          <w:szCs w:val="24"/>
        </w:rPr>
        <w:t>. Αντίθετα, αν η διαταγή πληρωμής αφορά σε υπόθεση του Περιφερειακού Δικαστηρίου, που είναι αρμόδιο έως το ποσό των 15.000,00 ευρώ</w:t>
      </w:r>
      <w:r w:rsidRPr="00690309">
        <w:rPr>
          <w:rStyle w:val="FootnoteReference"/>
          <w:rFonts w:ascii="Bookman Old Style" w:hAnsi="Bookman Old Style" w:cs="Times New Roman"/>
          <w:sz w:val="24"/>
          <w:szCs w:val="24"/>
        </w:rPr>
        <w:footnoteReference w:id="74"/>
      </w:r>
      <w:r w:rsidRPr="00690309">
        <w:rPr>
          <w:rFonts w:ascii="Bookman Old Style" w:hAnsi="Bookman Old Style" w:cs="Times New Roman"/>
          <w:sz w:val="24"/>
          <w:szCs w:val="24"/>
        </w:rPr>
        <w:t>, η κατάθεση ανακοπής είναι παραδεκτή και χωρίς αναφορά των λόγων της</w:t>
      </w:r>
      <w:r w:rsidRPr="00690309">
        <w:rPr>
          <w:rStyle w:val="FootnoteReference"/>
          <w:rFonts w:ascii="Bookman Old Style" w:hAnsi="Bookman Old Style" w:cs="Times New Roman"/>
          <w:sz w:val="24"/>
          <w:szCs w:val="24"/>
        </w:rPr>
        <w:footnoteReference w:id="75"/>
      </w:r>
      <w:r w:rsidRPr="00690309">
        <w:rPr>
          <w:rFonts w:ascii="Bookman Old Style" w:hAnsi="Bookman Old Style" w:cs="Times New Roman"/>
          <w:sz w:val="24"/>
          <w:szCs w:val="24"/>
        </w:rPr>
        <w:t xml:space="preserve">, ενώ, ισχύει και </w:t>
      </w:r>
      <w:r w:rsidRPr="00690309">
        <w:rPr>
          <w:rFonts w:ascii="Bookman Old Style" w:hAnsi="Bookman Old Style" w:cs="Times New Roman"/>
          <w:sz w:val="24"/>
          <w:szCs w:val="24"/>
          <w:lang w:val="en-US"/>
        </w:rPr>
        <w:t>ex</w:t>
      </w:r>
      <w:r w:rsidRPr="00690309">
        <w:rPr>
          <w:rFonts w:ascii="Bookman Old Style" w:hAnsi="Bookman Old Style" w:cs="Times New Roman"/>
          <w:sz w:val="24"/>
          <w:szCs w:val="24"/>
        </w:rPr>
        <w:t xml:space="preserve"> </w:t>
      </w:r>
      <w:r w:rsidRPr="00690309">
        <w:rPr>
          <w:rFonts w:ascii="Bookman Old Style" w:hAnsi="Bookman Old Style" w:cs="Times New Roman"/>
          <w:sz w:val="24"/>
          <w:szCs w:val="24"/>
          <w:lang w:val="en-US"/>
        </w:rPr>
        <w:t>officio</w:t>
      </w:r>
      <w:r w:rsidRPr="00690309">
        <w:rPr>
          <w:rFonts w:ascii="Bookman Old Style" w:hAnsi="Bookman Old Style" w:cs="Times New Roman"/>
          <w:sz w:val="24"/>
          <w:szCs w:val="24"/>
        </w:rPr>
        <w:t xml:space="preserve"> απλουστευμένη διαδικασία ενώπιον του, καθόσον αφορά στην κατάθεση της αγωγής</w:t>
      </w:r>
      <w:r w:rsidRPr="00690309">
        <w:rPr>
          <w:rStyle w:val="FootnoteReference"/>
          <w:rFonts w:ascii="Bookman Old Style" w:hAnsi="Bookman Old Style" w:cs="Times New Roman"/>
          <w:sz w:val="24"/>
          <w:szCs w:val="24"/>
        </w:rPr>
        <w:footnoteReference w:id="76"/>
      </w:r>
      <w:r w:rsidRPr="00690309">
        <w:rPr>
          <w:rFonts w:ascii="Bookman Old Style" w:hAnsi="Bookman Old Style" w:cs="Times New Roman"/>
          <w:sz w:val="24"/>
          <w:szCs w:val="24"/>
        </w:rPr>
        <w:t>, στην υποχρεωτική παράσταση με πληρεξούσιο Δικηγόρο, στην αρωγή του δικαστηρίου στο διάδικο που δεν εκπροσωπείται από τέτοιο</w:t>
      </w:r>
      <w:r w:rsidRPr="00690309">
        <w:rPr>
          <w:rStyle w:val="FootnoteReference"/>
          <w:rFonts w:ascii="Bookman Old Style" w:hAnsi="Bookman Old Style" w:cs="Times New Roman"/>
          <w:sz w:val="24"/>
          <w:szCs w:val="24"/>
        </w:rPr>
        <w:footnoteReference w:id="77"/>
      </w:r>
      <w:r w:rsidRPr="00690309">
        <w:rPr>
          <w:rFonts w:ascii="Bookman Old Style" w:hAnsi="Bookman Old Style" w:cs="Times New Roman"/>
          <w:sz w:val="24"/>
          <w:szCs w:val="24"/>
        </w:rPr>
        <w:t>, στη διεξαγωγή των αποδείξεων</w:t>
      </w:r>
      <w:r w:rsidRPr="00690309">
        <w:rPr>
          <w:rStyle w:val="FootnoteReference"/>
          <w:rFonts w:ascii="Bookman Old Style" w:hAnsi="Bookman Old Style" w:cs="Times New Roman"/>
          <w:sz w:val="24"/>
          <w:szCs w:val="24"/>
        </w:rPr>
        <w:footnoteReference w:id="78"/>
      </w:r>
      <w:r w:rsidRPr="00690309">
        <w:rPr>
          <w:rFonts w:ascii="Bookman Old Style" w:hAnsi="Bookman Old Style" w:cs="Times New Roman"/>
          <w:sz w:val="24"/>
          <w:szCs w:val="24"/>
        </w:rPr>
        <w:t>, καθώς, και στη δυνατότητα άσκησης ενδίκου μέσου</w:t>
      </w:r>
      <w:r w:rsidRPr="00690309">
        <w:rPr>
          <w:rFonts w:ascii="Bookman Old Style" w:hAnsi="Bookman Old Style"/>
          <w:sz w:val="24"/>
          <w:szCs w:val="24"/>
          <w:vertAlign w:val="superscript"/>
        </w:rPr>
        <w:footnoteReference w:id="79"/>
      </w:r>
      <w:r w:rsidRPr="00690309">
        <w:rPr>
          <w:rFonts w:ascii="Bookman Old Style" w:hAnsi="Bookman Old Style" w:cs="Times New Roman"/>
          <w:sz w:val="24"/>
          <w:szCs w:val="24"/>
        </w:rPr>
        <w:t>, η οποία δεν νοείται για την αξιολόγηση της ουσίας της υπόθεσης έως το ποσό των 2.000,00 ευρώ, ειμή μόνο για παραβίαση δικονομικών κανόνων</w:t>
      </w:r>
      <w:r w:rsidRPr="00690309">
        <w:rPr>
          <w:rStyle w:val="FootnoteReference"/>
          <w:rFonts w:ascii="Bookman Old Style" w:hAnsi="Bookman Old Style" w:cs="Times New Roman"/>
          <w:sz w:val="24"/>
          <w:szCs w:val="24"/>
        </w:rPr>
        <w:footnoteReference w:id="80"/>
      </w:r>
      <w:r w:rsidRPr="00690309">
        <w:rPr>
          <w:rFonts w:ascii="Bookman Old Style" w:hAnsi="Bookman Old Style" w:cs="Times New Roman"/>
          <w:sz w:val="24"/>
          <w:szCs w:val="24"/>
        </w:rPr>
        <w:t>, η, δε, απόφαση εκδίδεται σε προθεσμία μηνός από την συζήτηση</w:t>
      </w:r>
      <w:r w:rsidRPr="00690309">
        <w:rPr>
          <w:rStyle w:val="FootnoteReference"/>
          <w:rFonts w:ascii="Bookman Old Style" w:hAnsi="Bookman Old Style" w:cs="Times New Roman"/>
          <w:sz w:val="24"/>
          <w:szCs w:val="24"/>
        </w:rPr>
        <w:footnoteReference w:id="81"/>
      </w:r>
      <w:r w:rsidRPr="00690309">
        <w:rPr>
          <w:rFonts w:ascii="Bookman Old Style" w:hAnsi="Bookman Old Style" w:cs="Times New Roman"/>
          <w:sz w:val="24"/>
          <w:szCs w:val="24"/>
        </w:rPr>
        <w:t xml:space="preserve">. </w:t>
      </w:r>
    </w:p>
    <w:p w:rsidR="007371B1" w:rsidRPr="00690309" w:rsidRDefault="007371B1" w:rsidP="007371B1">
      <w:pPr>
        <w:pStyle w:val="NormalWeb"/>
        <w:spacing w:line="360" w:lineRule="auto"/>
        <w:ind w:firstLine="720"/>
        <w:jc w:val="both"/>
        <w:rPr>
          <w:rFonts w:ascii="Bookman Old Style" w:hAnsi="Bookman Old Style"/>
        </w:rPr>
      </w:pPr>
      <w:r w:rsidRPr="00690309">
        <w:rPr>
          <w:rFonts w:ascii="Bookman Old Style" w:hAnsi="Bookman Old Style"/>
        </w:rPr>
        <w:t xml:space="preserve">Προαιρετικά, απλουστευμένη </w:t>
      </w:r>
      <w:r w:rsidR="00AE30FA">
        <w:rPr>
          <w:rFonts w:ascii="Bookman Old Style" w:hAnsi="Bookman Old Style"/>
        </w:rPr>
        <w:t>κίνηση</w:t>
      </w:r>
      <w:r w:rsidR="00931119">
        <w:rPr>
          <w:rFonts w:ascii="Bookman Old Style" w:hAnsi="Bookman Old Style"/>
        </w:rPr>
        <w:t xml:space="preserve"> </w:t>
      </w:r>
      <w:r w:rsidR="007F0AEF">
        <w:rPr>
          <w:rFonts w:ascii="Bookman Old Style" w:hAnsi="Bookman Old Style"/>
        </w:rPr>
        <w:t xml:space="preserve">της </w:t>
      </w:r>
      <w:r w:rsidR="00931119">
        <w:rPr>
          <w:rFonts w:ascii="Bookman Old Style" w:hAnsi="Bookman Old Style"/>
        </w:rPr>
        <w:t>διαδικασίας</w:t>
      </w:r>
      <w:r w:rsidR="00931119">
        <w:rPr>
          <w:rStyle w:val="FootnoteReference"/>
          <w:rFonts w:ascii="Bookman Old Style" w:hAnsi="Bookman Old Style"/>
        </w:rPr>
        <w:footnoteReference w:id="82"/>
      </w:r>
      <w:r w:rsidR="00931119">
        <w:rPr>
          <w:rFonts w:ascii="Bookman Old Style" w:hAnsi="Bookman Old Style"/>
        </w:rPr>
        <w:t xml:space="preserve"> </w:t>
      </w:r>
      <w:r w:rsidRPr="00690309">
        <w:rPr>
          <w:rFonts w:ascii="Bookman Old Style" w:hAnsi="Bookman Old Style"/>
        </w:rPr>
        <w:t>ενώπιον του Πρωτοδικείου</w:t>
      </w:r>
      <w:r w:rsidRPr="00690309">
        <w:rPr>
          <w:rStyle w:val="FootnoteReference"/>
          <w:rFonts w:ascii="Bookman Old Style" w:hAnsi="Bookman Old Style"/>
        </w:rPr>
        <w:footnoteReference w:id="83"/>
      </w:r>
      <w:r w:rsidRPr="00690309">
        <w:rPr>
          <w:rFonts w:ascii="Bookman Old Style" w:hAnsi="Bookman Old Style"/>
        </w:rPr>
        <w:t xml:space="preserve"> ισχύει</w:t>
      </w:r>
      <w:r>
        <w:rPr>
          <w:rFonts w:ascii="Bookman Old Style" w:hAnsi="Bookman Old Style"/>
        </w:rPr>
        <w:t>, επίσης,</w:t>
      </w:r>
      <w:r w:rsidRPr="00690309">
        <w:rPr>
          <w:rFonts w:ascii="Bookman Old Style" w:hAnsi="Bookman Old Style"/>
        </w:rPr>
        <w:t xml:space="preserve"> στην  Γαλλία, ονόματι «δήλωση στην γραμματεία του Δικαστηρίου»</w:t>
      </w:r>
      <w:r w:rsidRPr="00690309">
        <w:rPr>
          <w:rStyle w:val="FootnoteReference"/>
          <w:rFonts w:ascii="Bookman Old Style" w:hAnsi="Bookman Old Style"/>
        </w:rPr>
        <w:footnoteReference w:id="84"/>
      </w:r>
      <w:r w:rsidRPr="00690309">
        <w:rPr>
          <w:rStyle w:val="FootnoteReference"/>
          <w:rFonts w:ascii="Bookman Old Style" w:hAnsi="Bookman Old Style"/>
        </w:rPr>
        <w:t xml:space="preserve"> </w:t>
      </w:r>
      <w:r w:rsidRPr="00690309">
        <w:rPr>
          <w:rFonts w:ascii="Bookman Old Style" w:hAnsi="Bookman Old Style"/>
        </w:rPr>
        <w:t>, για όλες, ανεξαιρέτως, τις αστικές διαφορές έως το ποσό των 4.000,00 ευρώ</w:t>
      </w:r>
      <w:r w:rsidRPr="00690309">
        <w:rPr>
          <w:rStyle w:val="FootnoteReference"/>
          <w:rFonts w:ascii="Bookman Old Style" w:hAnsi="Bookman Old Style"/>
        </w:rPr>
        <w:footnoteReference w:id="85"/>
      </w:r>
      <w:r w:rsidRPr="00690309">
        <w:rPr>
          <w:rFonts w:ascii="Bookman Old Style" w:hAnsi="Bookman Old Style"/>
        </w:rPr>
        <w:t xml:space="preserve">, η οποία διέπεται από τα </w:t>
      </w:r>
      <w:r w:rsidRPr="00690309">
        <w:rPr>
          <w:rFonts w:ascii="Bookman Old Style" w:hAnsi="Bookman Old Style"/>
        </w:rPr>
        <w:lastRenderedPageBreak/>
        <w:t>άρθρα 843 και 844 ΓαλλΚΠολΔ</w:t>
      </w:r>
      <w:r w:rsidRPr="00690309">
        <w:rPr>
          <w:rStyle w:val="FootnoteReference"/>
          <w:rFonts w:ascii="Bookman Old Style" w:hAnsi="Bookman Old Style"/>
        </w:rPr>
        <w:footnoteReference w:id="86"/>
      </w:r>
      <w:r w:rsidRPr="00690309">
        <w:rPr>
          <w:rFonts w:ascii="Bookman Old Style" w:hAnsi="Bookman Old Style"/>
        </w:rPr>
        <w:t xml:space="preserve">. Η διαδικασία </w:t>
      </w:r>
      <w:r w:rsidR="00931119">
        <w:rPr>
          <w:rFonts w:ascii="Bookman Old Style" w:hAnsi="Bookman Old Style"/>
        </w:rPr>
        <w:t>άρχεται</w:t>
      </w:r>
      <w:r w:rsidRPr="00690309">
        <w:rPr>
          <w:rFonts w:ascii="Bookman Old Style" w:hAnsi="Bookman Old Style"/>
        </w:rPr>
        <w:t xml:space="preserve"> με προφορική ή γραπτή δήλωση στη γραμματεία του αρμόδιου δικαστηρίου, ενώ, για την τελευταία υπάρχει και η δυνατότητα χρήσης του προδιατυπωμένου εντύπου υπ’ αρ. </w:t>
      </w:r>
      <w:r w:rsidRPr="00690309">
        <w:rPr>
          <w:rFonts w:ascii="Bookman Old Style" w:hAnsi="Bookman Old Style"/>
          <w:lang w:val="en-US"/>
        </w:rPr>
        <w:t>CERFA</w:t>
      </w:r>
      <w:r w:rsidRPr="00690309">
        <w:rPr>
          <w:rFonts w:ascii="Bookman Old Style" w:hAnsi="Bookman Old Style"/>
        </w:rPr>
        <w:t xml:space="preserve"> </w:t>
      </w:r>
      <w:r w:rsidRPr="00690309">
        <w:rPr>
          <w:rFonts w:ascii="Bookman Old Style" w:hAnsi="Bookman Old Style"/>
          <w:lang w:val="en-US"/>
        </w:rPr>
        <w:t>No</w:t>
      </w:r>
      <w:r w:rsidRPr="00690309">
        <w:rPr>
          <w:rFonts w:ascii="Bookman Old Style" w:hAnsi="Bookman Old Style"/>
        </w:rPr>
        <w:t xml:space="preserve"> 11764</w:t>
      </w:r>
      <w:r w:rsidRPr="00690309">
        <w:rPr>
          <w:rStyle w:val="FootnoteReference"/>
          <w:rFonts w:ascii="Bookman Old Style" w:hAnsi="Bookman Old Style"/>
          <w:lang w:val="en-US"/>
        </w:rPr>
        <w:footnoteReference w:id="87"/>
      </w:r>
      <w:r w:rsidRPr="00690309">
        <w:rPr>
          <w:rFonts w:ascii="Bookman Old Style" w:hAnsi="Bookman Old Style"/>
        </w:rPr>
        <w:t xml:space="preserve">, στο οποίο ο ενάγων συμπληρώνει την ταυτότητα των διαδίκων, σύντομη ιστορική βάση της αιτήσεώς του, χωρίς υπαγωγή σε κανόνα Δικαίου, ορισμένο αίτημα, </w:t>
      </w:r>
      <w:r w:rsidRPr="00690309">
        <w:rPr>
          <w:rFonts w:ascii="Bookman Old Style" w:hAnsi="Bookman Old Style"/>
          <w:color w:val="212121"/>
          <w:shd w:val="clear" w:color="auto" w:fill="FFFFFF"/>
        </w:rPr>
        <w:t xml:space="preserve"> τα μέτρα που ελήφθησαν για την φιλική διευθέτηση της διαφοράς</w:t>
      </w:r>
      <w:r w:rsidRPr="00690309">
        <w:rPr>
          <w:rStyle w:val="FootnoteReference"/>
          <w:rFonts w:ascii="Bookman Old Style" w:hAnsi="Bookman Old Style"/>
          <w:color w:val="212121"/>
          <w:shd w:val="clear" w:color="auto" w:fill="FFFFFF"/>
        </w:rPr>
        <w:footnoteReference w:id="88"/>
      </w:r>
      <w:r w:rsidRPr="00690309">
        <w:rPr>
          <w:rFonts w:ascii="Bookman Old Style" w:hAnsi="Bookman Old Style"/>
          <w:color w:val="212121"/>
          <w:shd w:val="clear" w:color="auto" w:fill="FFFFFF"/>
        </w:rPr>
        <w:t>, ημερομηνία και υπογραφή, μαζί, δε, με τη δήλωση συνυποβάλλονται, υποχρεωτικά, όλα τα αποδεικτικά μέσα που στηρίζουν την επίδικη αξίωση. </w:t>
      </w:r>
      <w:r w:rsidRPr="00690309">
        <w:rPr>
          <w:rFonts w:ascii="Bookman Old Style" w:hAnsi="Bookman Old Style"/>
        </w:rPr>
        <w:t xml:space="preserve"> Με την καταχώρηση της δήλωσης, η γραμματεία καλεί τους διαδίκους για συζήτηση σε συγκεκριμένη ημερομηνία, για την οποία, ο ενάγων ενημερώνεται με οποιοδήποτε μέσο</w:t>
      </w:r>
      <w:r w:rsidRPr="00690309">
        <w:rPr>
          <w:rStyle w:val="FootnoteReference"/>
          <w:rFonts w:ascii="Bookman Old Style" w:hAnsi="Bookman Old Style"/>
        </w:rPr>
        <w:footnoteReference w:id="89"/>
      </w:r>
      <w:r w:rsidRPr="00690309">
        <w:rPr>
          <w:rFonts w:ascii="Bookman Old Style" w:hAnsi="Bookman Old Style"/>
        </w:rPr>
        <w:t>, ο, δε, εναγόμενος με συστημένη επιστολή</w:t>
      </w:r>
      <w:r w:rsidRPr="00690309">
        <w:rPr>
          <w:rStyle w:val="FootnoteReference"/>
          <w:rFonts w:ascii="Bookman Old Style" w:hAnsi="Bookman Old Style"/>
        </w:rPr>
        <w:footnoteReference w:id="90"/>
      </w:r>
      <w:r w:rsidRPr="00690309">
        <w:rPr>
          <w:rFonts w:ascii="Bookman Old Style" w:hAnsi="Bookman Old Style"/>
        </w:rPr>
        <w:t>, επί αποδείξει παραλαβής, ενώ, οι κανόνες που διέπουν την ακροαματική διαδικασία είναι κοινοί ενώπιον του Πρωτοδικείου, στηριζόμενοι στην αρχή προφορικής διεξαγωγής, κατ΄αρ. 846 ΓαλλΚΠολΔ</w:t>
      </w:r>
      <w:r w:rsidRPr="00690309">
        <w:rPr>
          <w:rStyle w:val="FootnoteReference"/>
          <w:rFonts w:ascii="Bookman Old Style" w:hAnsi="Bookman Old Style"/>
        </w:rPr>
        <w:footnoteReference w:id="91"/>
      </w:r>
      <w:r w:rsidRPr="00690309">
        <w:rPr>
          <w:rFonts w:ascii="Bookman Old Style" w:hAnsi="Bookman Old Style"/>
        </w:rPr>
        <w:t>. Έτσι, οι διάδικοι μπορούν παρασταθούν αυτοπροσώπως</w:t>
      </w:r>
      <w:r w:rsidRPr="00690309">
        <w:rPr>
          <w:rStyle w:val="FootnoteReference"/>
          <w:rFonts w:ascii="Bookman Old Style" w:hAnsi="Bookman Old Style"/>
        </w:rPr>
        <w:footnoteReference w:id="92"/>
      </w:r>
      <w:r w:rsidRPr="00690309">
        <w:rPr>
          <w:rFonts w:ascii="Bookman Old Style" w:hAnsi="Bookman Old Style"/>
        </w:rPr>
        <w:t xml:space="preserve">, δια πληρεξουσίου Δικηγόρου, αλλά, ακόμα και εκούσια </w:t>
      </w:r>
      <w:r w:rsidRPr="00690309">
        <w:rPr>
          <w:rFonts w:ascii="Bookman Old Style" w:hAnsi="Bookman Old Style"/>
        </w:rPr>
        <w:lastRenderedPageBreak/>
        <w:t>αντιπροσωπευόμενοι</w:t>
      </w:r>
      <w:r w:rsidRPr="00690309">
        <w:rPr>
          <w:rStyle w:val="FootnoteReference"/>
          <w:rFonts w:ascii="Bookman Old Style" w:hAnsi="Bookman Old Style"/>
        </w:rPr>
        <w:footnoteReference w:id="93"/>
      </w:r>
      <w:r w:rsidRPr="00690309">
        <w:rPr>
          <w:rFonts w:ascii="Bookman Old Style" w:hAnsi="Bookman Old Style"/>
        </w:rPr>
        <w:t xml:space="preserve"> από τον σύζυγο, σύμβιο ή και συγγενή έως τον τρίτο βαθμό, ενώ, ειδικά, το Γαλλικό Δημόσιο, και τα νπδδ του, μπορούν να εκπροσωπούνται από υπαλλήλους τους</w:t>
      </w:r>
      <w:r w:rsidRPr="00690309">
        <w:rPr>
          <w:rStyle w:val="FootnoteReference"/>
          <w:rFonts w:ascii="Bookman Old Style" w:hAnsi="Bookman Old Style"/>
        </w:rPr>
        <w:footnoteReference w:id="94"/>
      </w:r>
      <w:r w:rsidRPr="00690309">
        <w:rPr>
          <w:rFonts w:ascii="Bookman Old Style" w:hAnsi="Bookman Old Style"/>
        </w:rPr>
        <w:t>. Ο ενάγων φέρει το βάρος αποδείξεως των αγωγικών του ισχυρισμών. Αν δεν παρασταθεί, δηλαδή, στην συζήτηση η δήλωσή του κηρύσσεται «άκυρη»</w:t>
      </w:r>
      <w:r w:rsidRPr="00690309">
        <w:rPr>
          <w:rStyle w:val="FootnoteReference"/>
          <w:rFonts w:ascii="Bookman Old Style" w:hAnsi="Bookman Old Style"/>
        </w:rPr>
        <w:footnoteReference w:id="95"/>
      </w:r>
      <w:r w:rsidRPr="00690309">
        <w:rPr>
          <w:rFonts w:ascii="Bookman Old Style" w:hAnsi="Bookman Old Style"/>
        </w:rPr>
        <w:t>, ενώ, μπορεί να εκδοθεί και απόφαση επί της ουσίας για τον παρασταθέντα εναγόμενο</w:t>
      </w:r>
      <w:r w:rsidRPr="00690309">
        <w:rPr>
          <w:rStyle w:val="FootnoteReference"/>
          <w:rFonts w:ascii="Bookman Old Style" w:hAnsi="Bookman Old Style"/>
        </w:rPr>
        <w:footnoteReference w:id="96"/>
      </w:r>
      <w:r w:rsidRPr="00690309">
        <w:rPr>
          <w:rFonts w:ascii="Bookman Old Style" w:hAnsi="Bookman Old Style"/>
        </w:rPr>
        <w:t>. Αντίστοιχα, επί ερημοδικίας του τελευταίου, απόφαση εκδίδεται επί τη βάσει των μόνο των ισχυρισμών του παρασταθέντα ενάγοντα. Παραπομπή της υπόθεσης σε άλλη ημερομηνία δεν επιτρέπεται, εκτός έαν διατάχθεί τέτοια, αιτήσει του εναγόμενου «δικαιολογημένα»</w:t>
      </w:r>
      <w:r w:rsidRPr="00690309">
        <w:rPr>
          <w:rStyle w:val="FootnoteReference"/>
          <w:rFonts w:ascii="Bookman Old Style" w:hAnsi="Bookman Old Style"/>
        </w:rPr>
        <w:footnoteReference w:id="97"/>
      </w:r>
      <w:r w:rsidRPr="00690309">
        <w:rPr>
          <w:rFonts w:ascii="Bookman Old Style" w:hAnsi="Bookman Old Style"/>
        </w:rPr>
        <w:t xml:space="preserve"> ενώ, στην νέα ημερομηνία διεξαγωγής υποχρεούνται να παραστούν, εκ νέου, οι διάδικοι, εκτός αν τους απαλλάξει το Δικαστήριο</w:t>
      </w:r>
      <w:r w:rsidRPr="00690309">
        <w:rPr>
          <w:rStyle w:val="FootnoteReference"/>
          <w:rFonts w:ascii="Bookman Old Style" w:hAnsi="Bookman Old Style"/>
        </w:rPr>
        <w:footnoteReference w:id="98"/>
      </w:r>
      <w:r w:rsidRPr="00690309">
        <w:rPr>
          <w:rFonts w:ascii="Bookman Old Style" w:hAnsi="Bookman Old Style"/>
        </w:rPr>
        <w:t>, οπότε και η διαδικασία εξελίσσεται εγγράφως</w:t>
      </w:r>
      <w:r w:rsidRPr="00690309">
        <w:rPr>
          <w:rStyle w:val="FootnoteReference"/>
          <w:rFonts w:ascii="Bookman Old Style" w:hAnsi="Bookman Old Style"/>
        </w:rPr>
        <w:footnoteReference w:id="99"/>
      </w:r>
      <w:r w:rsidRPr="00690309">
        <w:rPr>
          <w:rFonts w:ascii="Bookman Old Style" w:hAnsi="Bookman Old Style"/>
        </w:rPr>
        <w:t>. Τέλος, επιτρέπεται, απεριόριστα, η προβολή παρεπόμενων αξιώσεων, ενώ, πέραν της δυνατότητας ανταγωγής, ο εναγόμενος μπορεί να υποβάλει και αίτημα για «περίοδο χάριτος», κατά το αρ. 1343-5 ΓαλλΑΚ</w:t>
      </w:r>
      <w:r w:rsidRPr="00690309">
        <w:rPr>
          <w:rStyle w:val="FootnoteReference"/>
          <w:rFonts w:ascii="Bookman Old Style" w:hAnsi="Bookman Old Style"/>
        </w:rPr>
        <w:footnoteReference w:id="100"/>
      </w:r>
      <w:r w:rsidRPr="00690309">
        <w:rPr>
          <w:rFonts w:ascii="Bookman Old Style" w:hAnsi="Bookman Old Style"/>
        </w:rPr>
        <w:t>. Η απόφαση μπορεί να εκδοθεί «αμέσως» μετά την ακρόαση ή σε ύστερο χρόνο, αποστέλλεται, δε, στους διαδίκους μέσω ταχυδρομείου και είναι ανέκκλητη</w:t>
      </w:r>
      <w:r w:rsidRPr="00690309">
        <w:rPr>
          <w:rStyle w:val="FootnoteReference"/>
          <w:rFonts w:ascii="Bookman Old Style" w:hAnsi="Bookman Old Style"/>
        </w:rPr>
        <w:footnoteReference w:id="101"/>
      </w:r>
      <w:r w:rsidRPr="00690309">
        <w:rPr>
          <w:rFonts w:ascii="Bookman Old Style" w:hAnsi="Bookman Old Style"/>
        </w:rPr>
        <w:t xml:space="preserve">.  </w:t>
      </w:r>
    </w:p>
    <w:p w:rsidR="007C522D" w:rsidRDefault="007371B1" w:rsidP="007371B1">
      <w:pPr>
        <w:pStyle w:val="NormalWeb"/>
        <w:spacing w:line="360" w:lineRule="auto"/>
        <w:ind w:firstLine="720"/>
        <w:jc w:val="both"/>
        <w:rPr>
          <w:rFonts w:ascii="Bookman Old Style" w:hAnsi="Bookman Old Style"/>
        </w:rPr>
      </w:pPr>
      <w:r w:rsidRPr="00690309">
        <w:rPr>
          <w:rFonts w:ascii="Bookman Old Style" w:hAnsi="Bookman Old Style"/>
        </w:rPr>
        <w:t>Στ</w:t>
      </w:r>
      <w:r w:rsidR="007C522D">
        <w:rPr>
          <w:rFonts w:ascii="Bookman Old Style" w:hAnsi="Bookman Old Style"/>
        </w:rPr>
        <w:t>η</w:t>
      </w:r>
      <w:r w:rsidRPr="00690309">
        <w:rPr>
          <w:rFonts w:ascii="Bookman Old Style" w:hAnsi="Bookman Old Style"/>
        </w:rPr>
        <w:t>ν Γερμ</w:t>
      </w:r>
      <w:r w:rsidR="007C522D">
        <w:rPr>
          <w:rFonts w:ascii="Bookman Old Style" w:hAnsi="Bookman Old Style"/>
        </w:rPr>
        <w:t>ανία</w:t>
      </w:r>
      <w:r w:rsidRPr="00690309">
        <w:rPr>
          <w:rFonts w:ascii="Bookman Old Style" w:hAnsi="Bookman Old Style"/>
        </w:rPr>
        <w:t>, αντίστοιχα, η διαδικασία ενώπιον του Ειρηνοδικείου</w:t>
      </w:r>
      <w:r w:rsidRPr="00690309">
        <w:rPr>
          <w:rStyle w:val="FootnoteReference"/>
          <w:rFonts w:ascii="Bookman Old Style" w:hAnsi="Bookman Old Style"/>
        </w:rPr>
        <w:footnoteReference w:id="102"/>
      </w:r>
      <w:r w:rsidRPr="00690309">
        <w:rPr>
          <w:rFonts w:ascii="Bookman Old Style" w:hAnsi="Bookman Old Style"/>
        </w:rPr>
        <w:t xml:space="preserve"> και του Πρωτοδικείου</w:t>
      </w:r>
      <w:r w:rsidRPr="00690309">
        <w:rPr>
          <w:rStyle w:val="FootnoteReference"/>
          <w:rFonts w:ascii="Bookman Old Style" w:hAnsi="Bookman Old Style"/>
        </w:rPr>
        <w:footnoteReference w:id="103"/>
      </w:r>
      <w:r w:rsidRPr="00690309">
        <w:rPr>
          <w:rFonts w:ascii="Bookman Old Style" w:hAnsi="Bookman Old Style"/>
        </w:rPr>
        <w:t xml:space="preserve"> είναι, κατά κανόνα, κοινή</w:t>
      </w:r>
      <w:r w:rsidRPr="00690309">
        <w:rPr>
          <w:rStyle w:val="FootnoteReference"/>
          <w:rFonts w:ascii="Bookman Old Style" w:hAnsi="Bookman Old Style"/>
        </w:rPr>
        <w:footnoteReference w:id="104"/>
      </w:r>
      <w:r w:rsidRPr="00690309">
        <w:rPr>
          <w:rFonts w:ascii="Bookman Old Style" w:hAnsi="Bookman Old Style"/>
        </w:rPr>
        <w:t xml:space="preserve">, </w:t>
      </w:r>
      <w:r w:rsidRPr="00690309">
        <w:rPr>
          <w:rFonts w:ascii="Bookman Old Style" w:hAnsi="Bookman Old Style"/>
        </w:rPr>
        <w:lastRenderedPageBreak/>
        <w:t>δεδομένου ότι ανήκουν στον ιδίο δικαστηριακό σχηματισμό</w:t>
      </w:r>
      <w:r w:rsidRPr="00690309">
        <w:rPr>
          <w:rStyle w:val="FootnoteReference"/>
          <w:rFonts w:ascii="Bookman Old Style" w:hAnsi="Bookman Old Style"/>
        </w:rPr>
        <w:footnoteReference w:id="105"/>
      </w:r>
      <w:r w:rsidRPr="00690309">
        <w:rPr>
          <w:rFonts w:ascii="Bookman Old Style" w:hAnsi="Bookman Old Style"/>
        </w:rPr>
        <w:t>, στηρίζεται, δε, στην αρχή της προφορικής ακρόασης των ισχυρισμών</w:t>
      </w:r>
      <w:r w:rsidRPr="00690309">
        <w:rPr>
          <w:rStyle w:val="FootnoteReference"/>
          <w:rFonts w:ascii="Bookman Old Style" w:hAnsi="Bookman Old Style"/>
        </w:rPr>
        <w:footnoteReference w:id="106"/>
      </w:r>
      <w:r w:rsidRPr="00690309">
        <w:rPr>
          <w:rFonts w:ascii="Bookman Old Style" w:hAnsi="Bookman Old Style"/>
        </w:rPr>
        <w:t>, που έχουν, προκατατεθεί και αξιολογηθεί, για τις, δε, υποθέσεις έως το ποσό των 600,00 ευρώ</w:t>
      </w:r>
      <w:r w:rsidRPr="00690309">
        <w:rPr>
          <w:rStyle w:val="FootnoteReference"/>
          <w:rFonts w:ascii="Bookman Old Style" w:hAnsi="Bookman Old Style"/>
        </w:rPr>
        <w:footnoteReference w:id="107"/>
      </w:r>
      <w:r w:rsidRPr="00690309">
        <w:rPr>
          <w:rFonts w:ascii="Bookman Old Style" w:hAnsi="Bookman Old Style"/>
        </w:rPr>
        <w:t>, και ανεξαρτήτως της φύσης της διαφοράς, προβλέπεται, υποχρεωτικά</w:t>
      </w:r>
      <w:r w:rsidRPr="00690309">
        <w:rPr>
          <w:rStyle w:val="FootnoteReference"/>
          <w:rFonts w:ascii="Bookman Old Style" w:hAnsi="Bookman Old Style"/>
        </w:rPr>
        <w:footnoteReference w:id="108"/>
      </w:r>
      <w:r w:rsidRPr="00690309">
        <w:rPr>
          <w:rFonts w:ascii="Bookman Old Style" w:hAnsi="Bookman Old Style"/>
        </w:rPr>
        <w:t>, απλουστευμένη διαδικασία</w:t>
      </w:r>
      <w:r w:rsidR="00931119">
        <w:rPr>
          <w:rStyle w:val="FootnoteReference"/>
          <w:rFonts w:ascii="Bookman Old Style" w:hAnsi="Bookman Old Style"/>
        </w:rPr>
        <w:footnoteReference w:id="109"/>
      </w:r>
      <w:r w:rsidRPr="00690309">
        <w:rPr>
          <w:rFonts w:ascii="Bookman Old Style" w:hAnsi="Bookman Old Style"/>
        </w:rPr>
        <w:t>, κατά το αρ. 495</w:t>
      </w:r>
      <w:r w:rsidRPr="00690309">
        <w:rPr>
          <w:rFonts w:ascii="Bookman Old Style" w:hAnsi="Bookman Old Style"/>
          <w:vertAlign w:val="superscript"/>
        </w:rPr>
        <w:t>α</w:t>
      </w:r>
      <w:r w:rsidRPr="00690309">
        <w:rPr>
          <w:rFonts w:ascii="Bookman Old Style" w:hAnsi="Bookman Old Style"/>
        </w:rPr>
        <w:t xml:space="preserve"> ΓερμΚΠολΔ, σύμφωνα με το οποίο απόκειται στη διακριτική ευχέρεια του Δικαστηρίου να αποφασίσει την κατάλληλη προετοιμασία και συζήτηση της υπόθεσης, ενώ, εφόσον υποβληθεί σχετικό αίτημα, η τελευταία εξετάζεται προφορικά</w:t>
      </w:r>
      <w:r w:rsidRPr="00690309">
        <w:rPr>
          <w:rStyle w:val="FootnoteReference"/>
          <w:rFonts w:ascii="Bookman Old Style" w:hAnsi="Bookman Old Style"/>
        </w:rPr>
        <w:footnoteReference w:id="110"/>
      </w:r>
      <w:r w:rsidRPr="00690309">
        <w:rPr>
          <w:rFonts w:ascii="Bookman Old Style" w:hAnsi="Bookman Old Style"/>
        </w:rPr>
        <w:t>. Στην πράξη, όμως, η έγγραφη διεξαγωγή αποτελεί τον κανόνα</w:t>
      </w:r>
      <w:r w:rsidRPr="00690309">
        <w:rPr>
          <w:rStyle w:val="FootnoteReference"/>
          <w:rFonts w:ascii="Bookman Old Style" w:hAnsi="Bookman Old Style"/>
        </w:rPr>
        <w:footnoteReference w:id="111"/>
      </w:r>
      <w:r w:rsidRPr="00690309">
        <w:rPr>
          <w:rFonts w:ascii="Bookman Old Style" w:hAnsi="Bookman Old Style"/>
        </w:rPr>
        <w:t>, για τη, δε, περίπτωση αυτοπρόσωπης παράστασης του διαδίκου προβλέπεται η αρωγή του Δικαστηρίου, τόσο για την άσκηση της αγωγής όσο και για την συζήτηση της υπόθεσης</w:t>
      </w:r>
      <w:r w:rsidRPr="00690309">
        <w:rPr>
          <w:rStyle w:val="FootnoteReference"/>
          <w:rFonts w:ascii="Bookman Old Style" w:hAnsi="Bookman Old Style"/>
        </w:rPr>
        <w:footnoteReference w:id="112"/>
      </w:r>
      <w:r w:rsidRPr="00690309">
        <w:rPr>
          <w:rFonts w:ascii="Bookman Old Style" w:hAnsi="Bookman Old Style"/>
        </w:rPr>
        <w:t xml:space="preserve">, στο οποίο επαφύεται και η αποδεικτική διαδικασία, εφόσον τηρηθούν οι αρχές της δίκαιης δίκης και αμεροληψίας, καθώς, και το δικαίωμα </w:t>
      </w:r>
      <w:r w:rsidRPr="00690309">
        <w:rPr>
          <w:rFonts w:ascii="Bookman Old Style" w:hAnsi="Bookman Old Style"/>
        </w:rPr>
        <w:lastRenderedPageBreak/>
        <w:t>δικαστικής ακρόασης</w:t>
      </w:r>
      <w:r w:rsidRPr="00690309">
        <w:rPr>
          <w:rStyle w:val="FootnoteReference"/>
          <w:rFonts w:ascii="Bookman Old Style" w:hAnsi="Bookman Old Style"/>
        </w:rPr>
        <w:footnoteReference w:id="113"/>
      </w:r>
      <w:r w:rsidRPr="00690309">
        <w:rPr>
          <w:rFonts w:ascii="Bookman Old Style" w:hAnsi="Bookman Old Style"/>
        </w:rPr>
        <w:t>. Η απόφαση δεν είναι υποχρεωτικό να περιλαμβάνει αναφορά και αξιολόγηση των πραγματικών περιστατικών, για τα, δε, νομικά επιχειρήματα των διαδίκων αρκεί η αναγραφή στα πρακτικά, ενώ, υπόκειται σε ένδικα μέσα</w:t>
      </w:r>
      <w:r w:rsidR="007C522D" w:rsidRPr="00690309">
        <w:rPr>
          <w:rStyle w:val="FootnoteReference"/>
          <w:rFonts w:ascii="Bookman Old Style" w:hAnsi="Bookman Old Style"/>
        </w:rPr>
        <w:footnoteReference w:id="114"/>
      </w:r>
      <w:r w:rsidRPr="00690309">
        <w:rPr>
          <w:rFonts w:ascii="Bookman Old Style" w:hAnsi="Bookman Old Style"/>
        </w:rPr>
        <w:t xml:space="preserve"> μόνο για λόγους «ευρύτερου ενδιαφέροντος»</w:t>
      </w:r>
      <w:r w:rsidR="007C522D">
        <w:rPr>
          <w:rStyle w:val="FootnoteReference"/>
          <w:rFonts w:ascii="Bookman Old Style" w:hAnsi="Bookman Old Style"/>
        </w:rPr>
        <w:footnoteReference w:id="115"/>
      </w:r>
      <w:r w:rsidRPr="00690309">
        <w:rPr>
          <w:rFonts w:ascii="Bookman Old Style" w:hAnsi="Bookman Old Style"/>
        </w:rPr>
        <w:t xml:space="preserve"> . </w:t>
      </w:r>
    </w:p>
    <w:p w:rsidR="00931119" w:rsidRPr="00690309" w:rsidRDefault="007F0AEF" w:rsidP="007F0AEF">
      <w:pPr>
        <w:pStyle w:val="NormalWeb"/>
        <w:spacing w:line="360" w:lineRule="auto"/>
        <w:ind w:firstLine="720"/>
        <w:jc w:val="both"/>
        <w:rPr>
          <w:rFonts w:ascii="Bookman Old Style" w:hAnsi="Bookman Old Style"/>
          <w:color w:val="000000"/>
          <w:shd w:val="clear" w:color="auto" w:fill="FFFFFF"/>
        </w:rPr>
      </w:pPr>
      <w:r>
        <w:rPr>
          <w:rFonts w:ascii="Bookman Old Style" w:hAnsi="Bookman Old Style"/>
        </w:rPr>
        <w:t>Ε</w:t>
      </w:r>
      <w:r w:rsidR="00931119" w:rsidRPr="00690309">
        <w:rPr>
          <w:rFonts w:ascii="Bookman Old Style" w:hAnsi="Bookman Old Style"/>
          <w:lang w:val="en-US"/>
        </w:rPr>
        <w:t>x</w:t>
      </w:r>
      <w:r w:rsidR="00931119" w:rsidRPr="00690309">
        <w:rPr>
          <w:rFonts w:ascii="Bookman Old Style" w:hAnsi="Bookman Old Style"/>
        </w:rPr>
        <w:t xml:space="preserve"> </w:t>
      </w:r>
      <w:r w:rsidR="00931119" w:rsidRPr="00690309">
        <w:rPr>
          <w:rFonts w:ascii="Bookman Old Style" w:hAnsi="Bookman Old Style"/>
          <w:lang w:val="en-US"/>
        </w:rPr>
        <w:t>officio</w:t>
      </w:r>
      <w:r w:rsidR="00931119" w:rsidRPr="00690309">
        <w:rPr>
          <w:rFonts w:ascii="Bookman Old Style" w:hAnsi="Bookman Old Style"/>
        </w:rPr>
        <w:t xml:space="preserve"> απλουστευμένη διαδικασία</w:t>
      </w:r>
      <w:r>
        <w:rPr>
          <w:rStyle w:val="tlid-translation"/>
          <w:rFonts w:ascii="Bookman Old Style" w:hAnsi="Bookman Old Style"/>
        </w:rPr>
        <w:t xml:space="preserve"> ισχύει σ</w:t>
      </w:r>
      <w:r w:rsidRPr="00690309">
        <w:rPr>
          <w:rStyle w:val="tlid-translation"/>
          <w:rFonts w:ascii="Bookman Old Style" w:hAnsi="Bookman Old Style"/>
        </w:rPr>
        <w:t>την Ιταλία</w:t>
      </w:r>
      <w:r w:rsidR="00931119" w:rsidRPr="00690309">
        <w:rPr>
          <w:rStyle w:val="FootnoteReference"/>
          <w:rFonts w:ascii="Bookman Old Style" w:hAnsi="Bookman Old Style"/>
        </w:rPr>
        <w:footnoteReference w:id="116"/>
      </w:r>
      <w:r w:rsidR="00931119" w:rsidRPr="00690309">
        <w:rPr>
          <w:rFonts w:ascii="Bookman Old Style" w:hAnsi="Bookman Old Style"/>
        </w:rPr>
        <w:t xml:space="preserve"> ενώπιον του Ειρηνοδικείου</w:t>
      </w:r>
      <w:r w:rsidR="00931119" w:rsidRPr="00690309">
        <w:rPr>
          <w:rStyle w:val="FootnoteReference"/>
          <w:rFonts w:ascii="Bookman Old Style" w:hAnsi="Bookman Old Style"/>
        </w:rPr>
        <w:footnoteReference w:id="117"/>
      </w:r>
      <w:r w:rsidR="00931119" w:rsidRPr="00690309">
        <w:rPr>
          <w:rFonts w:ascii="Bookman Old Style" w:hAnsi="Bookman Old Style"/>
        </w:rPr>
        <w:t xml:space="preserve">, που ρυθμίζεται στα άρθρα </w:t>
      </w:r>
      <w:r w:rsidR="00931119" w:rsidRPr="00690309">
        <w:rPr>
          <w:rFonts w:ascii="Bookman Old Style" w:hAnsi="Bookman Old Style"/>
          <w:color w:val="000000"/>
          <w:shd w:val="clear" w:color="auto" w:fill="FFFFFF"/>
        </w:rPr>
        <w:t>316 έως 318 του ΙτΚΠολΔ.</w:t>
      </w:r>
      <w:r w:rsidR="00931119" w:rsidRPr="00690309">
        <w:rPr>
          <w:rFonts w:ascii="Bookman Old Style" w:hAnsi="Bookman Old Style"/>
        </w:rPr>
        <w:t xml:space="preserve"> Η διαδικασία διέπεται, κατά κανόνα, από τις ίδιες διατάξεις ενώπιον των τακτικών Δικαστηρίων</w:t>
      </w:r>
      <w:r w:rsidR="00931119" w:rsidRPr="00690309">
        <w:rPr>
          <w:rStyle w:val="FootnoteReference"/>
          <w:rFonts w:ascii="Bookman Old Style" w:hAnsi="Bookman Old Style"/>
        </w:rPr>
        <w:footnoteReference w:id="118"/>
      </w:r>
      <w:r w:rsidR="00931119" w:rsidRPr="00690309">
        <w:rPr>
          <w:rFonts w:ascii="Bookman Old Style" w:hAnsi="Bookman Old Style"/>
        </w:rPr>
        <w:t>, με εξαίρεση ότι για υποθέσεις έως το ποσό των 1.100,00 ευρώ, οι διάδικοι μπορούν να παρίστανται αυτοπροσώπως</w:t>
      </w:r>
      <w:r w:rsidR="00931119" w:rsidRPr="00690309">
        <w:rPr>
          <w:rStyle w:val="FootnoteReference"/>
          <w:rFonts w:ascii="Bookman Old Style" w:hAnsi="Bookman Old Style"/>
        </w:rPr>
        <w:footnoteReference w:id="119"/>
      </w:r>
      <w:r w:rsidR="00931119" w:rsidRPr="00690309">
        <w:rPr>
          <w:rFonts w:ascii="Bookman Old Style" w:hAnsi="Bookman Old Style"/>
        </w:rPr>
        <w:t xml:space="preserve">, εκτός αν ο Ειρηνοδίκης, </w:t>
      </w:r>
      <w:r w:rsidR="00931119" w:rsidRPr="00690309">
        <w:rPr>
          <w:rFonts w:ascii="Bookman Old Style" w:hAnsi="Bookman Old Style"/>
          <w:color w:val="000000"/>
          <w:shd w:val="clear" w:color="auto" w:fill="FFFFFF"/>
        </w:rPr>
        <w:t>βάσει της φύσης και του εύρους της αγωγής, επιτρέψει αυτοπρόσωπη παράσταση και στις λοιπές υποθέσεις</w:t>
      </w:r>
      <w:r w:rsidR="00931119" w:rsidRPr="00690309">
        <w:rPr>
          <w:rStyle w:val="FootnoteReference"/>
          <w:rFonts w:ascii="Bookman Old Style" w:hAnsi="Bookman Old Style"/>
          <w:color w:val="000000"/>
          <w:shd w:val="clear" w:color="auto" w:fill="FFFFFF"/>
        </w:rPr>
        <w:footnoteReference w:id="120"/>
      </w:r>
      <w:r w:rsidR="00931119" w:rsidRPr="00690309">
        <w:rPr>
          <w:rFonts w:ascii="Bookman Old Style" w:hAnsi="Bookman Old Style"/>
          <w:color w:val="000000"/>
          <w:shd w:val="clear" w:color="auto" w:fill="FFFFFF"/>
        </w:rPr>
        <w:t xml:space="preserve">, ενώ, όλες οι αποφάσεις υπόκεινται σε ένδικα μέσα, πλην των υποθέσεων έως το ανωτέρω ποσό, που εφεσιβάλλονται μόνο για παραβίαση δικονομικών κανόνων, συνταγματικών ή κοινοτικών </w:t>
      </w:r>
      <w:r w:rsidR="00931119" w:rsidRPr="00690309">
        <w:rPr>
          <w:rFonts w:ascii="Bookman Old Style" w:hAnsi="Bookman Old Style"/>
          <w:color w:val="000000"/>
          <w:shd w:val="clear" w:color="auto" w:fill="FFFFFF"/>
        </w:rPr>
        <w:lastRenderedPageBreak/>
        <w:t>αρχών</w:t>
      </w:r>
      <w:r w:rsidR="00931119" w:rsidRPr="00690309">
        <w:rPr>
          <w:rStyle w:val="FootnoteReference"/>
          <w:rFonts w:ascii="Bookman Old Style" w:hAnsi="Bookman Old Style"/>
          <w:color w:val="000000"/>
          <w:shd w:val="clear" w:color="auto" w:fill="FFFFFF"/>
        </w:rPr>
        <w:footnoteReference w:id="121"/>
      </w:r>
      <w:r w:rsidR="00931119" w:rsidRPr="00690309">
        <w:rPr>
          <w:rFonts w:ascii="Bookman Old Style" w:hAnsi="Bookman Old Style"/>
          <w:color w:val="000000"/>
          <w:shd w:val="clear" w:color="auto" w:fill="FFFFFF"/>
        </w:rPr>
        <w:t>. Για τις υποθέσεις Ειρηνοδικείου ισχύει, επιπλέον, ως προϋπόθεση του παραδεκτού, ο θεσμός της πρότερης υποχρεωτικής, ιδιωτικής μεσολάβησης</w:t>
      </w:r>
      <w:r w:rsidR="00931119" w:rsidRPr="00690309">
        <w:rPr>
          <w:rStyle w:val="FootnoteReference"/>
          <w:rFonts w:ascii="Bookman Old Style" w:hAnsi="Bookman Old Style"/>
          <w:color w:val="000000"/>
          <w:shd w:val="clear" w:color="auto" w:fill="FFFFFF"/>
        </w:rPr>
        <w:footnoteReference w:id="122"/>
      </w:r>
      <w:r w:rsidR="00931119" w:rsidRPr="00690309">
        <w:rPr>
          <w:rFonts w:ascii="Bookman Old Style" w:hAnsi="Bookman Old Style"/>
          <w:color w:val="000000"/>
          <w:shd w:val="clear" w:color="auto" w:fill="FFFFFF"/>
        </w:rPr>
        <w:t>, ενώ, ήδη, η διαδικασία ενώπιόν του μπορεί να λάβει χώρα και με ηλεκτρονικά μέσα</w:t>
      </w:r>
      <w:r w:rsidR="00931119" w:rsidRPr="00690309">
        <w:rPr>
          <w:rFonts w:ascii="Bookman Old Style" w:hAnsi="Bookman Old Style"/>
          <w:vertAlign w:val="superscript"/>
        </w:rPr>
        <w:footnoteReference w:id="123"/>
      </w:r>
      <w:r w:rsidR="00931119" w:rsidRPr="00690309">
        <w:rPr>
          <w:rFonts w:ascii="Bookman Old Style" w:hAnsi="Bookman Old Style"/>
          <w:color w:val="000000"/>
          <w:shd w:val="clear" w:color="auto" w:fill="FFFFFF"/>
        </w:rPr>
        <w:t>, όπως, ισχύει και για τον θεσμό της «διαταγής πληρωμής»</w:t>
      </w:r>
      <w:r w:rsidR="00931119" w:rsidRPr="00690309">
        <w:rPr>
          <w:rStyle w:val="FootnoteReference"/>
          <w:rFonts w:ascii="Bookman Old Style" w:hAnsi="Bookman Old Style"/>
          <w:color w:val="000000"/>
          <w:shd w:val="clear" w:color="auto" w:fill="FFFFFF"/>
        </w:rPr>
        <w:footnoteReference w:id="124"/>
      </w:r>
      <w:r w:rsidR="00931119" w:rsidRPr="00690309">
        <w:rPr>
          <w:rFonts w:ascii="Bookman Old Style" w:hAnsi="Bookman Old Style"/>
          <w:color w:val="000000"/>
          <w:shd w:val="clear" w:color="auto" w:fill="FFFFFF"/>
        </w:rPr>
        <w:t>, στην ηλεκτρονική εφαρμογή «Ρ</w:t>
      </w:r>
      <w:r w:rsidR="00931119" w:rsidRPr="00690309">
        <w:rPr>
          <w:rFonts w:ascii="Bookman Old Style" w:hAnsi="Bookman Old Style"/>
          <w:color w:val="000000"/>
          <w:shd w:val="clear" w:color="auto" w:fill="FFFFFF"/>
          <w:lang w:val="en-US"/>
        </w:rPr>
        <w:t>C</w:t>
      </w:r>
      <w:r w:rsidR="00931119" w:rsidRPr="00690309">
        <w:rPr>
          <w:rFonts w:ascii="Bookman Old Style" w:hAnsi="Bookman Old Style"/>
          <w:color w:val="000000"/>
          <w:shd w:val="clear" w:color="auto" w:fill="FFFFFF"/>
        </w:rPr>
        <w:t>Τ»</w:t>
      </w:r>
      <w:r w:rsidR="00931119" w:rsidRPr="00690309">
        <w:rPr>
          <w:rStyle w:val="FootnoteReference"/>
          <w:rFonts w:ascii="Bookman Old Style" w:hAnsi="Bookman Old Style"/>
          <w:color w:val="000000"/>
          <w:shd w:val="clear" w:color="auto" w:fill="FFFFFF"/>
        </w:rPr>
        <w:footnoteReference w:id="125"/>
      </w:r>
      <w:r w:rsidR="00931119" w:rsidRPr="00690309">
        <w:rPr>
          <w:rFonts w:ascii="Bookman Old Style" w:hAnsi="Bookman Old Style"/>
          <w:color w:val="000000"/>
          <w:shd w:val="clear" w:color="auto" w:fill="FFFFFF"/>
        </w:rPr>
        <w:t xml:space="preserve">.  </w:t>
      </w:r>
    </w:p>
    <w:p w:rsidR="00931119" w:rsidRPr="00690309" w:rsidRDefault="00931119" w:rsidP="00931119">
      <w:pPr>
        <w:pStyle w:val="NormalWeb"/>
        <w:spacing w:line="360" w:lineRule="auto"/>
        <w:ind w:firstLine="720"/>
        <w:jc w:val="both"/>
        <w:rPr>
          <w:rFonts w:ascii="Bookman Old Style" w:hAnsi="Bookman Old Style"/>
          <w:color w:val="000000"/>
          <w:shd w:val="clear" w:color="auto" w:fill="FFFFFF"/>
        </w:rPr>
      </w:pPr>
      <w:r w:rsidRPr="00690309">
        <w:rPr>
          <w:rFonts w:ascii="Bookman Old Style" w:hAnsi="Bookman Old Style"/>
          <w:color w:val="000000"/>
          <w:shd w:val="clear" w:color="auto" w:fill="FFFFFF"/>
        </w:rPr>
        <w:t>Στην Πορτογαλία</w:t>
      </w:r>
      <w:r w:rsidRPr="00690309">
        <w:rPr>
          <w:rStyle w:val="FootnoteReference"/>
          <w:rFonts w:ascii="Bookman Old Style" w:hAnsi="Bookman Old Style"/>
          <w:color w:val="000000"/>
          <w:shd w:val="clear" w:color="auto" w:fill="FFFFFF"/>
        </w:rPr>
        <w:footnoteReference w:id="126"/>
      </w:r>
      <w:r w:rsidR="007F0AEF">
        <w:rPr>
          <w:rFonts w:ascii="Bookman Old Style" w:hAnsi="Bookman Old Style"/>
          <w:color w:val="000000"/>
          <w:shd w:val="clear" w:color="auto" w:fill="FFFFFF"/>
        </w:rPr>
        <w:t xml:space="preserve">, περαιτέρω, </w:t>
      </w:r>
      <w:r w:rsidRPr="00690309">
        <w:rPr>
          <w:rFonts w:ascii="Bookman Old Style" w:hAnsi="Bookman Old Style"/>
          <w:color w:val="000000"/>
          <w:shd w:val="clear" w:color="auto" w:fill="FFFFFF"/>
        </w:rPr>
        <w:t>ο θεσμός του Ειρηνοδίκη</w:t>
      </w:r>
      <w:r w:rsidRPr="00690309">
        <w:rPr>
          <w:rStyle w:val="FootnoteReference"/>
          <w:rFonts w:ascii="Bookman Old Style" w:hAnsi="Bookman Old Style"/>
          <w:color w:val="000000"/>
          <w:shd w:val="clear" w:color="auto" w:fill="FFFFFF"/>
        </w:rPr>
        <w:footnoteReference w:id="127"/>
      </w:r>
      <w:r w:rsidRPr="00690309">
        <w:rPr>
          <w:rFonts w:ascii="Bookman Old Style" w:hAnsi="Bookman Old Style"/>
          <w:color w:val="000000"/>
          <w:shd w:val="clear" w:color="auto" w:fill="FFFFFF"/>
        </w:rPr>
        <w:t xml:space="preserve"> επανασχεδιάστηκε</w:t>
      </w:r>
      <w:r w:rsidR="006A4DC9">
        <w:rPr>
          <w:rFonts w:ascii="Bookman Old Style" w:hAnsi="Bookman Old Style"/>
          <w:color w:val="000000"/>
          <w:shd w:val="clear" w:color="auto" w:fill="FFFFFF"/>
        </w:rPr>
        <w:t>,</w:t>
      </w:r>
      <w:r w:rsidRPr="00690309">
        <w:rPr>
          <w:rFonts w:ascii="Bookman Old Style" w:hAnsi="Bookman Old Style"/>
          <w:color w:val="000000"/>
          <w:shd w:val="clear" w:color="auto" w:fill="FFFFFF"/>
        </w:rPr>
        <w:t xml:space="preserve"> το 2002, ορίστηκε, δε, ως το αρμόδιο επιτελικό </w:t>
      </w:r>
      <w:r w:rsidRPr="00690309">
        <w:rPr>
          <w:rFonts w:ascii="Bookman Old Style" w:hAnsi="Bookman Old Style"/>
          <w:color w:val="000000"/>
          <w:shd w:val="clear" w:color="auto" w:fill="FFFFFF"/>
        </w:rPr>
        <w:lastRenderedPageBreak/>
        <w:t>όργανο της διαμεσολάβησης σε αστικές και εμπορικές υποθέσεις, ανεξαρτήτως αξίας της διαφοράς</w:t>
      </w:r>
      <w:r w:rsidRPr="00690309">
        <w:rPr>
          <w:rStyle w:val="FootnoteReference"/>
          <w:rFonts w:ascii="Bookman Old Style" w:hAnsi="Bookman Old Style"/>
          <w:color w:val="000000"/>
          <w:shd w:val="clear" w:color="auto" w:fill="FFFFFF"/>
        </w:rPr>
        <w:footnoteReference w:id="128"/>
      </w:r>
      <w:r w:rsidRPr="00690309">
        <w:rPr>
          <w:rFonts w:ascii="Bookman Old Style" w:hAnsi="Bookman Old Style"/>
          <w:color w:val="000000"/>
          <w:shd w:val="clear" w:color="auto" w:fill="FFFFFF"/>
        </w:rPr>
        <w:t>. Για το σκοπό αυτό εντός των Ειρηνοδικείων λειτουργεί ειδική, μικτή υπηρεσία διαμεσολάβησης</w:t>
      </w:r>
      <w:r w:rsidRPr="00690309">
        <w:rPr>
          <w:rStyle w:val="FootnoteReference"/>
          <w:rFonts w:ascii="Bookman Old Style" w:hAnsi="Bookman Old Style"/>
          <w:color w:val="000000"/>
          <w:shd w:val="clear" w:color="auto" w:fill="FFFFFF"/>
        </w:rPr>
        <w:footnoteReference w:id="129"/>
      </w:r>
      <w:r w:rsidRPr="00690309">
        <w:rPr>
          <w:rFonts w:ascii="Bookman Old Style" w:hAnsi="Bookman Old Style"/>
          <w:color w:val="000000"/>
          <w:shd w:val="clear" w:color="auto" w:fill="FFFFFF"/>
        </w:rPr>
        <w:t>, που γνωστοποιεί και ενθαρρύνει εναλλακτικές μορφές επίλυσης διαφορών, αποτελούμενη από τον Ειρηνοδίκη και μεσολαβητές – ελεύθερους επαγγελματίες, στα πλαίσια διετούς σύμβασης ανεξαρτήτων υπηρεσιών</w:t>
      </w:r>
      <w:r w:rsidRPr="00690309">
        <w:rPr>
          <w:rStyle w:val="FootnoteReference"/>
          <w:rFonts w:ascii="Bookman Old Style" w:hAnsi="Bookman Old Style"/>
          <w:color w:val="000000"/>
          <w:shd w:val="clear" w:color="auto" w:fill="FFFFFF"/>
        </w:rPr>
        <w:footnoteReference w:id="130"/>
      </w:r>
      <w:r w:rsidRPr="00690309">
        <w:rPr>
          <w:rFonts w:ascii="Bookman Old Style" w:hAnsi="Bookman Old Style"/>
          <w:color w:val="000000"/>
          <w:shd w:val="clear" w:color="auto" w:fill="FFFFFF"/>
        </w:rPr>
        <w:t>. Έτσι, σε διαφορές</w:t>
      </w:r>
      <w:r w:rsidR="006A4DC9">
        <w:rPr>
          <w:rFonts w:ascii="Bookman Old Style" w:hAnsi="Bookman Old Style"/>
          <w:color w:val="000000"/>
          <w:shd w:val="clear" w:color="auto" w:fill="FFFFFF"/>
        </w:rPr>
        <w:t xml:space="preserve"> Ειρηνοδικείου</w:t>
      </w:r>
      <w:r w:rsidR="007F0AEF">
        <w:rPr>
          <w:rFonts w:ascii="Bookman Old Style" w:hAnsi="Bookman Old Style"/>
          <w:color w:val="000000"/>
          <w:shd w:val="clear" w:color="auto" w:fill="FFFFFF"/>
        </w:rPr>
        <w:t xml:space="preserve">, για τις οποίες ισχύει </w:t>
      </w:r>
      <w:r w:rsidR="007F0AEF">
        <w:rPr>
          <w:rFonts w:ascii="Bookman Old Style" w:hAnsi="Bookman Old Style"/>
          <w:color w:val="000000"/>
          <w:shd w:val="clear" w:color="auto" w:fill="FFFFFF"/>
          <w:lang w:val="en-US"/>
        </w:rPr>
        <w:t>ex</w:t>
      </w:r>
      <w:r w:rsidR="007F0AEF" w:rsidRPr="006A4DC9">
        <w:rPr>
          <w:rFonts w:ascii="Bookman Old Style" w:hAnsi="Bookman Old Style"/>
          <w:color w:val="000000"/>
          <w:shd w:val="clear" w:color="auto" w:fill="FFFFFF"/>
        </w:rPr>
        <w:t xml:space="preserve"> </w:t>
      </w:r>
      <w:r w:rsidR="007F0AEF">
        <w:rPr>
          <w:rFonts w:ascii="Bookman Old Style" w:hAnsi="Bookman Old Style"/>
          <w:color w:val="000000"/>
          <w:shd w:val="clear" w:color="auto" w:fill="FFFFFF"/>
          <w:lang w:val="en-US"/>
        </w:rPr>
        <w:t>officio</w:t>
      </w:r>
      <w:r w:rsidR="007F0AEF" w:rsidRPr="006A4DC9">
        <w:rPr>
          <w:rFonts w:ascii="Bookman Old Style" w:hAnsi="Bookman Old Style"/>
          <w:color w:val="000000"/>
          <w:shd w:val="clear" w:color="auto" w:fill="FFFFFF"/>
        </w:rPr>
        <w:t xml:space="preserve"> </w:t>
      </w:r>
      <w:r w:rsidR="007F0AEF">
        <w:rPr>
          <w:rFonts w:ascii="Bookman Old Style" w:hAnsi="Bookman Old Style"/>
          <w:color w:val="000000"/>
          <w:shd w:val="clear" w:color="auto" w:fill="FFFFFF"/>
        </w:rPr>
        <w:t>απλουστευμένη διαδικασία</w:t>
      </w:r>
      <w:r w:rsidRPr="00690309">
        <w:rPr>
          <w:rFonts w:ascii="Bookman Old Style" w:hAnsi="Bookman Old Style"/>
          <w:color w:val="000000"/>
          <w:shd w:val="clear" w:color="auto" w:fill="FFFFFF"/>
        </w:rPr>
        <w:t xml:space="preserve"> έως το ποσό των 15.000,00 ευρώ</w:t>
      </w:r>
      <w:r w:rsidRPr="00690309">
        <w:rPr>
          <w:rStyle w:val="FootnoteReference"/>
          <w:rFonts w:ascii="Bookman Old Style" w:hAnsi="Bookman Old Style"/>
          <w:color w:val="000000"/>
          <w:shd w:val="clear" w:color="auto" w:fill="FFFFFF"/>
        </w:rPr>
        <w:footnoteReference w:id="131"/>
      </w:r>
      <w:r w:rsidRPr="00690309">
        <w:rPr>
          <w:rFonts w:ascii="Bookman Old Style" w:hAnsi="Bookman Old Style"/>
          <w:color w:val="000000"/>
          <w:shd w:val="clear" w:color="auto" w:fill="FFFFFF"/>
        </w:rPr>
        <w:t xml:space="preserve">, </w:t>
      </w:r>
      <w:r w:rsidR="006A4DC9">
        <w:rPr>
          <w:rFonts w:ascii="Bookman Old Style" w:hAnsi="Bookman Old Style"/>
          <w:color w:val="000000"/>
          <w:shd w:val="clear" w:color="auto" w:fill="FFFFFF"/>
        </w:rPr>
        <w:t xml:space="preserve"> </w:t>
      </w:r>
      <w:r w:rsidRPr="00690309">
        <w:rPr>
          <w:rFonts w:ascii="Bookman Old Style" w:hAnsi="Bookman Old Style"/>
          <w:color w:val="000000"/>
          <w:shd w:val="clear" w:color="auto" w:fill="FFFFFF"/>
        </w:rPr>
        <w:t>με την κατάθεση</w:t>
      </w:r>
      <w:r w:rsidR="007F0AEF" w:rsidRPr="00690309">
        <w:rPr>
          <w:rStyle w:val="FootnoteReference"/>
          <w:rFonts w:ascii="Bookman Old Style" w:hAnsi="Bookman Old Style"/>
          <w:color w:val="000000"/>
          <w:shd w:val="clear" w:color="auto" w:fill="FFFFFF"/>
        </w:rPr>
        <w:footnoteReference w:id="132"/>
      </w:r>
      <w:r w:rsidRPr="00690309">
        <w:rPr>
          <w:rFonts w:ascii="Bookman Old Style" w:hAnsi="Bookman Old Style"/>
          <w:color w:val="000000"/>
          <w:shd w:val="clear" w:color="auto" w:fill="FFFFFF"/>
        </w:rPr>
        <w:t xml:space="preserve"> της αγωγής</w:t>
      </w:r>
      <w:r w:rsidRPr="00690309">
        <w:rPr>
          <w:rStyle w:val="FootnoteReference"/>
          <w:rFonts w:ascii="Bookman Old Style" w:hAnsi="Bookman Old Style"/>
          <w:color w:val="000000"/>
          <w:shd w:val="clear" w:color="auto" w:fill="FFFFFF"/>
        </w:rPr>
        <w:footnoteReference w:id="133"/>
      </w:r>
      <w:r w:rsidR="007F0AEF">
        <w:rPr>
          <w:rFonts w:ascii="Bookman Old Style" w:hAnsi="Bookman Old Style"/>
          <w:color w:val="000000"/>
          <w:shd w:val="clear" w:color="auto" w:fill="FFFFFF"/>
        </w:rPr>
        <w:t xml:space="preserve">, </w:t>
      </w:r>
      <w:r w:rsidRPr="00690309">
        <w:rPr>
          <w:rFonts w:ascii="Bookman Old Style" w:hAnsi="Bookman Old Style"/>
          <w:color w:val="000000"/>
          <w:shd w:val="clear" w:color="auto" w:fill="FFFFFF"/>
        </w:rPr>
        <w:t>ο Γραμματέας ενημερώνει, αυτοπροσώπως, τηλεφωνικά, με τηλεομοιοτυπία ή και ταχυδρομικώς, τον εναγόμενο και, παράλληλα, αποστέλ</w:t>
      </w:r>
      <w:r w:rsidR="003601D6">
        <w:rPr>
          <w:rFonts w:ascii="Bookman Old Style" w:hAnsi="Bookman Old Style"/>
          <w:color w:val="000000"/>
          <w:shd w:val="clear" w:color="auto" w:fill="FFFFFF"/>
        </w:rPr>
        <w:t>λ</w:t>
      </w:r>
      <w:r w:rsidRPr="00690309">
        <w:rPr>
          <w:rFonts w:ascii="Bookman Old Style" w:hAnsi="Bookman Old Style"/>
          <w:color w:val="000000"/>
          <w:shd w:val="clear" w:color="auto" w:fill="FFFFFF"/>
        </w:rPr>
        <w:t>ει αντίγραφό της, καθώς, και κλήση για την ημερομηνία πρώτης συνεδρίασης της «διαμεσολάβησης». Στην κλήση περιλαμβάνεται και η δυνατότητα του εναγόμενου να αμφισβητήσει αναιτιολόγητα την αγωγική αξίωση σε προθεσμία είκοσι (20) ημερών  από παραλαβής της, ενώ, η πρώτη συνεδρίαση</w:t>
      </w:r>
      <w:r w:rsidR="007F0AEF">
        <w:rPr>
          <w:rFonts w:ascii="Bookman Old Style" w:hAnsi="Bookman Old Style"/>
          <w:color w:val="000000"/>
          <w:shd w:val="clear" w:color="auto" w:fill="FFFFFF"/>
        </w:rPr>
        <w:t xml:space="preserve"> της διαμεσολάβησης</w:t>
      </w:r>
      <w:r w:rsidRPr="00690309">
        <w:rPr>
          <w:rFonts w:ascii="Bookman Old Style" w:hAnsi="Bookman Old Style"/>
          <w:color w:val="000000"/>
          <w:shd w:val="clear" w:color="auto" w:fill="FFFFFF"/>
        </w:rPr>
        <w:t xml:space="preserve"> αποσκοπεί στην ενημέρωση των διαδίκων για τη δυνατότητα φιλικής διευθέτησης της διαφοράς</w:t>
      </w:r>
      <w:r w:rsidRPr="00690309">
        <w:rPr>
          <w:rStyle w:val="FootnoteReference"/>
          <w:rFonts w:ascii="Bookman Old Style" w:hAnsi="Bookman Old Style"/>
          <w:color w:val="000000"/>
          <w:shd w:val="clear" w:color="auto" w:fill="FFFFFF"/>
        </w:rPr>
        <w:footnoteReference w:id="134"/>
      </w:r>
      <w:r w:rsidRPr="00690309">
        <w:rPr>
          <w:rFonts w:ascii="Bookman Old Style" w:hAnsi="Bookman Old Style"/>
          <w:color w:val="000000"/>
          <w:shd w:val="clear" w:color="auto" w:fill="FFFFFF"/>
        </w:rPr>
        <w:t>. Εάν σε αυτή επιτευχθεί συμφωνία, συνάπτεται σχετικό πρωτόκολλο, ενώ, αν δεν τη δεχτούν τα μέρη, είτε δεν εμφανιστεί εις εξ αυτών, είτε, εν τέλει, αποτύχει, ο Ειρηνοδίκης ορίζει ημερομηνία συζήτησης της υπόθεσης εντός τριάντα (30) ημερών, στην οποία καλούνται οι διαδίκοι, επιμελεία, επίσης, της Γραμματείας</w:t>
      </w:r>
      <w:r w:rsidRPr="00690309">
        <w:rPr>
          <w:rStyle w:val="FootnoteReference"/>
          <w:rFonts w:ascii="Bookman Old Style" w:hAnsi="Bookman Old Style"/>
          <w:color w:val="000000"/>
          <w:shd w:val="clear" w:color="auto" w:fill="FFFFFF"/>
        </w:rPr>
        <w:footnoteReference w:id="135"/>
      </w:r>
      <w:r w:rsidRPr="00690309">
        <w:rPr>
          <w:rFonts w:ascii="Bookman Old Style" w:hAnsi="Bookman Old Style"/>
          <w:color w:val="000000"/>
          <w:shd w:val="clear" w:color="auto" w:fill="FFFFFF"/>
        </w:rPr>
        <w:t xml:space="preserve">. Στην συζήτηση δεν είναι υποχρεωτική η παράσταση Δικηγόρου, τα αποδεικτικά μέσα κατατίθενται και επί της </w:t>
      </w:r>
      <w:r w:rsidRPr="00690309">
        <w:rPr>
          <w:rFonts w:ascii="Bookman Old Style" w:hAnsi="Bookman Old Style"/>
          <w:color w:val="000000"/>
          <w:shd w:val="clear" w:color="auto" w:fill="FFFFFF"/>
        </w:rPr>
        <w:lastRenderedPageBreak/>
        <w:t>έδρας, είναι δυνατή η εξέταση τριών μαρτύρων για κάθε μέρος, δεν επιτρέπεται αναβολή και η αποφάση, με συνοπτική αιτιολογία, εκδίδεται αμέσως, και καταχωρείται στα πρακτικά, ενώ, σε περίπτωση ερημοδικίας του ενάγοντα θεωρείται ότι αποσύρθηκε η αγωγή, στη, δε, ερημοδικία του εναγόμενου θεωρούνται ομολογημένα τα επικαλούμενα σε αυτή πραγματικά περιστατικά</w:t>
      </w:r>
      <w:r w:rsidRPr="00690309">
        <w:rPr>
          <w:rStyle w:val="FootnoteReference"/>
          <w:rFonts w:ascii="Bookman Old Style" w:hAnsi="Bookman Old Style"/>
          <w:color w:val="000000"/>
          <w:shd w:val="clear" w:color="auto" w:fill="FFFFFF"/>
        </w:rPr>
        <w:footnoteReference w:id="136"/>
      </w:r>
      <w:r w:rsidRPr="00690309">
        <w:rPr>
          <w:rFonts w:ascii="Bookman Old Style" w:hAnsi="Bookman Old Style"/>
          <w:color w:val="000000"/>
          <w:shd w:val="clear" w:color="auto" w:fill="FFFFFF"/>
        </w:rPr>
        <w:t xml:space="preserve">. Οι </w:t>
      </w:r>
      <w:r w:rsidR="006A4DC9">
        <w:rPr>
          <w:rFonts w:ascii="Bookman Old Style" w:hAnsi="Bookman Old Style"/>
          <w:color w:val="000000"/>
          <w:shd w:val="clear" w:color="auto" w:fill="FFFFFF"/>
        </w:rPr>
        <w:t>διαφορές ενώπιον του Ειρηνοδικείου,</w:t>
      </w:r>
      <w:r w:rsidRPr="00690309">
        <w:rPr>
          <w:rFonts w:ascii="Bookman Old Style" w:hAnsi="Bookman Old Style"/>
          <w:color w:val="000000"/>
          <w:shd w:val="clear" w:color="auto" w:fill="FFFFFF"/>
        </w:rPr>
        <w:t xml:space="preserve"> εξάλλου, καθώς και η «διαταγή πληρωμής για μη αμφισβητούμενες αξιώσεις»</w:t>
      </w:r>
      <w:r w:rsidRPr="00690309">
        <w:rPr>
          <w:rStyle w:val="FootnoteReference"/>
          <w:rFonts w:ascii="Bookman Old Style" w:hAnsi="Bookman Old Style"/>
          <w:color w:val="000000"/>
          <w:shd w:val="clear" w:color="auto" w:fill="FFFFFF"/>
        </w:rPr>
        <w:t xml:space="preserve"> </w:t>
      </w:r>
      <w:r w:rsidRPr="00690309">
        <w:rPr>
          <w:rStyle w:val="FootnoteReference"/>
          <w:rFonts w:ascii="Bookman Old Style" w:hAnsi="Bookman Old Style"/>
          <w:color w:val="000000"/>
          <w:shd w:val="clear" w:color="auto" w:fill="FFFFFF"/>
        </w:rPr>
        <w:footnoteReference w:id="137"/>
      </w:r>
      <w:r w:rsidRPr="00690309">
        <w:rPr>
          <w:rFonts w:ascii="Bookman Old Style" w:hAnsi="Bookman Old Style"/>
          <w:color w:val="000000"/>
          <w:shd w:val="clear" w:color="auto" w:fill="FFFFFF"/>
        </w:rPr>
        <w:t>, που λειτουργούν στην Πορτογαλία έως το ανωτέρω ποσό των 15.000,00 ευρώ, μπορούν να λάβουν χώρα, ήδη, αποκλειστικά ηλεκτρονικά στην πλατφόρμα «</w:t>
      </w:r>
      <w:r w:rsidRPr="00690309">
        <w:rPr>
          <w:rFonts w:ascii="Bookman Old Style" w:hAnsi="Bookman Old Style"/>
          <w:color w:val="000000"/>
          <w:shd w:val="clear" w:color="auto" w:fill="FFFFFF"/>
          <w:lang w:val="en-US"/>
        </w:rPr>
        <w:t>CITIUS</w:t>
      </w:r>
      <w:r w:rsidRPr="00690309">
        <w:rPr>
          <w:rFonts w:ascii="Bookman Old Style" w:hAnsi="Bookman Old Style"/>
          <w:color w:val="000000"/>
          <w:shd w:val="clear" w:color="auto" w:fill="FFFFFF"/>
        </w:rPr>
        <w:t>»</w:t>
      </w:r>
      <w:r w:rsidRPr="00690309">
        <w:rPr>
          <w:rStyle w:val="FootnoteReference"/>
          <w:rFonts w:ascii="Bookman Old Style" w:hAnsi="Bookman Old Style"/>
          <w:color w:val="000000"/>
          <w:shd w:val="clear" w:color="auto" w:fill="FFFFFF"/>
        </w:rPr>
        <w:t xml:space="preserve"> </w:t>
      </w:r>
      <w:r w:rsidRPr="00690309">
        <w:rPr>
          <w:rStyle w:val="FootnoteReference"/>
          <w:rFonts w:ascii="Bookman Old Style" w:hAnsi="Bookman Old Style"/>
          <w:color w:val="000000"/>
          <w:shd w:val="clear" w:color="auto" w:fill="FFFFFF"/>
        </w:rPr>
        <w:footnoteReference w:id="138"/>
      </w:r>
      <w:r w:rsidRPr="00690309">
        <w:rPr>
          <w:rStyle w:val="FootnoteReference"/>
          <w:rFonts w:ascii="Bookman Old Style" w:hAnsi="Bookman Old Style"/>
          <w:color w:val="000000"/>
          <w:shd w:val="clear" w:color="auto" w:fill="FFFFFF"/>
          <w:vertAlign w:val="baseline"/>
        </w:rPr>
        <w:t xml:space="preserve">. </w:t>
      </w:r>
      <w:r w:rsidRPr="00690309">
        <w:rPr>
          <w:rFonts w:ascii="Bookman Old Style" w:hAnsi="Bookman Old Style"/>
          <w:color w:val="000000"/>
          <w:shd w:val="clear" w:color="auto" w:fill="FFFFFF"/>
        </w:rPr>
        <w:t>Η διαδικασία διεξάγεται στον Τομέα «Citius - Small Claims Procedure»</w:t>
      </w:r>
      <w:r w:rsidRPr="00690309">
        <w:rPr>
          <w:rStyle w:val="FootnoteReference"/>
          <w:rFonts w:ascii="Bookman Old Style" w:hAnsi="Bookman Old Style"/>
          <w:color w:val="000000"/>
          <w:shd w:val="clear" w:color="auto" w:fill="FFFFFF"/>
        </w:rPr>
        <w:footnoteReference w:id="139"/>
      </w:r>
      <w:r w:rsidRPr="00690309">
        <w:rPr>
          <w:rFonts w:ascii="Bookman Old Style" w:hAnsi="Bookman Old Style"/>
          <w:color w:val="000000"/>
          <w:shd w:val="clear" w:color="auto" w:fill="FFFFFF"/>
        </w:rPr>
        <w:t>, στον οποίο οι πιστοποιημένοι Δικηγόροι – αποκλειστικοί χρήστες της πλατφόρμας - καταθέτουν την αγωγή, την απάντηση και τα αποδεικτικά τους μέσα</w:t>
      </w:r>
      <w:r w:rsidRPr="00690309">
        <w:rPr>
          <w:rStyle w:val="FootnoteReference"/>
          <w:rFonts w:ascii="Bookman Old Style" w:hAnsi="Bookman Old Style"/>
          <w:color w:val="000000"/>
          <w:shd w:val="clear" w:color="auto" w:fill="FFFFFF"/>
        </w:rPr>
        <w:footnoteReference w:id="140"/>
      </w:r>
      <w:r w:rsidRPr="00690309">
        <w:rPr>
          <w:rFonts w:ascii="Bookman Old Style" w:hAnsi="Bookman Old Style"/>
          <w:color w:val="000000"/>
          <w:shd w:val="clear" w:color="auto" w:fill="FFFFFF"/>
        </w:rPr>
        <w:t xml:space="preserve"> σε </w:t>
      </w:r>
      <w:r w:rsidRPr="00690309">
        <w:rPr>
          <w:rFonts w:ascii="Bookman Old Style" w:hAnsi="Bookman Old Style"/>
          <w:color w:val="000000"/>
          <w:shd w:val="clear" w:color="auto" w:fill="FFFFFF"/>
        </w:rPr>
        <w:lastRenderedPageBreak/>
        <w:t>ηλεκτρονική μορφή</w:t>
      </w:r>
      <w:r w:rsidRPr="00690309">
        <w:rPr>
          <w:rStyle w:val="FootnoteReference"/>
          <w:rFonts w:ascii="Bookman Old Style" w:hAnsi="Bookman Old Style"/>
          <w:color w:val="000000"/>
          <w:shd w:val="clear" w:color="auto" w:fill="FFFFFF"/>
        </w:rPr>
        <w:footnoteReference w:id="141"/>
      </w:r>
      <w:r w:rsidRPr="00690309">
        <w:rPr>
          <w:rFonts w:ascii="Bookman Old Style" w:hAnsi="Bookman Old Style"/>
          <w:color w:val="000000"/>
          <w:shd w:val="clear" w:color="auto" w:fill="FFFFFF"/>
        </w:rPr>
        <w:t>, ενώ, όταν συγκεντρώνεται η διαφορά αποστέλλεται, ηλεκτρονικά, στο Δικαστήριο προορισμού της</w:t>
      </w:r>
      <w:r w:rsidRPr="00690309">
        <w:rPr>
          <w:rStyle w:val="FootnoteReference"/>
          <w:rFonts w:ascii="Bookman Old Style" w:hAnsi="Bookman Old Style"/>
          <w:color w:val="000000"/>
          <w:shd w:val="clear" w:color="auto" w:fill="FFFFFF"/>
        </w:rPr>
        <w:footnoteReference w:id="142"/>
      </w:r>
      <w:r w:rsidRPr="00690309">
        <w:rPr>
          <w:rFonts w:ascii="Bookman Old Style" w:hAnsi="Bookman Old Style"/>
          <w:color w:val="000000"/>
          <w:shd w:val="clear" w:color="auto" w:fill="FFFFFF"/>
        </w:rPr>
        <w:t>.  Αντίθετα, η διαδικασία «διαταγής πληρωμής» λαμβάνει χώρα χωρίς την παρεμβολή δικαιοδοτικού οργάνου, πλήρως αυτοματοποιημένα. Ο πιστοποιημένος Δικηγόρος συμπληρώνει προδιατυπωμένη αίτηση</w:t>
      </w:r>
      <w:r w:rsidRPr="00690309">
        <w:rPr>
          <w:rStyle w:val="FootnoteReference"/>
          <w:rFonts w:ascii="Bookman Old Style" w:hAnsi="Bookman Old Style"/>
          <w:color w:val="000000"/>
          <w:shd w:val="clear" w:color="auto" w:fill="FFFFFF"/>
        </w:rPr>
        <w:footnoteReference w:id="143"/>
      </w:r>
      <w:r w:rsidRPr="00690309">
        <w:rPr>
          <w:rFonts w:ascii="Bookman Old Style" w:hAnsi="Bookman Old Style"/>
          <w:color w:val="000000"/>
          <w:shd w:val="clear" w:color="auto" w:fill="FFFFFF"/>
        </w:rPr>
        <w:t>, στην οποία αναγράφονται, υποχρεωτικά, πέραν των στοιχείων του εντολέα του, το όνομα, η διεύθυνση και το ΑΦΜ του οφειλέτη, η αιτιολογία της απαίτησης, το ποσό και οι τόκοι της, καθώς, και το αρμόδιο Δικαστήριο που θα επιληφθεί σε περίπτωση «αναιτιολόγητης ανακοπής» του τελευταίου</w:t>
      </w:r>
      <w:r w:rsidRPr="00690309">
        <w:rPr>
          <w:rStyle w:val="FootnoteReference"/>
          <w:rFonts w:ascii="Bookman Old Style" w:hAnsi="Bookman Old Style"/>
          <w:color w:val="000000"/>
          <w:shd w:val="clear" w:color="auto" w:fill="FFFFFF"/>
        </w:rPr>
        <w:footnoteReference w:id="144"/>
      </w:r>
      <w:r w:rsidRPr="00690309">
        <w:rPr>
          <w:rFonts w:ascii="Bookman Old Style" w:hAnsi="Bookman Old Style"/>
          <w:color w:val="000000"/>
          <w:shd w:val="clear" w:color="auto" w:fill="FFFFFF"/>
        </w:rPr>
        <w:t>. Με την υποβολή της αίτησης, αυτή λαμβάνει μοναδικό αριθμό κατάθεσης, και αποστέλλεται σχετική ειδοποίηση στον οφειλέτη με ταχυδρομική συστημένη επιστολή</w:t>
      </w:r>
      <w:r w:rsidRPr="00690309">
        <w:rPr>
          <w:rStyle w:val="FootnoteReference"/>
          <w:rFonts w:ascii="Bookman Old Style" w:hAnsi="Bookman Old Style"/>
          <w:color w:val="000000"/>
          <w:shd w:val="clear" w:color="auto" w:fill="FFFFFF"/>
        </w:rPr>
        <w:footnoteReference w:id="145"/>
      </w:r>
      <w:r w:rsidRPr="00690309">
        <w:rPr>
          <w:rFonts w:ascii="Bookman Old Style" w:hAnsi="Bookman Old Style"/>
          <w:color w:val="000000"/>
          <w:shd w:val="clear" w:color="auto" w:fill="FFFFFF"/>
        </w:rPr>
        <w:t xml:space="preserve">, στον οποίο, αν δεν προβάλλει αντιρρήσεις, χορηγείται, αφεαυτής, εκτελεστός τίτλος για την επίσπευση αναγκαστικής εκτέλεσης. Αντίθετα, αν δεν καταστεί δυνατή η γνωστοποίηση της ειδοποίησης η διαδικασία αργεί, ενώ, αν ο οφειλέτης εναντιωθεί στην απαίτηση, εγγράφως στο αρμόδιο Δικαστήριο, μέσω </w:t>
      </w:r>
      <w:r w:rsidRPr="00690309">
        <w:rPr>
          <w:rFonts w:ascii="Bookman Old Style" w:hAnsi="Bookman Old Style"/>
          <w:color w:val="000000"/>
          <w:shd w:val="clear" w:color="auto" w:fill="FFFFFF"/>
          <w:lang w:val="en-US"/>
        </w:rPr>
        <w:t>e</w:t>
      </w:r>
      <w:r w:rsidRPr="00690309">
        <w:rPr>
          <w:rFonts w:ascii="Bookman Old Style" w:hAnsi="Bookman Old Style"/>
          <w:color w:val="000000"/>
          <w:shd w:val="clear" w:color="auto" w:fill="FFFFFF"/>
        </w:rPr>
        <w:t xml:space="preserve"> – </w:t>
      </w:r>
      <w:r w:rsidRPr="00690309">
        <w:rPr>
          <w:rFonts w:ascii="Bookman Old Style" w:hAnsi="Bookman Old Style"/>
          <w:color w:val="000000"/>
          <w:shd w:val="clear" w:color="auto" w:fill="FFFFFF"/>
          <w:lang w:val="en-US"/>
        </w:rPr>
        <w:t>mail</w:t>
      </w:r>
      <w:r w:rsidRPr="00690309">
        <w:rPr>
          <w:rFonts w:ascii="Bookman Old Style" w:hAnsi="Bookman Old Style"/>
          <w:color w:val="000000"/>
          <w:shd w:val="clear" w:color="auto" w:fill="FFFFFF"/>
        </w:rPr>
        <w:t>, στην ηλεκτρονική διεύθυνση του τελευταίου, είτε στην πλατφόρμα «Citius», δια του πληρεξουσίου Δικηγόρου του, η διαδικασία συνεχίζεται κατά το κοινό Δικονομικό Δίκαιο</w:t>
      </w:r>
      <w:r w:rsidRPr="00690309">
        <w:rPr>
          <w:rStyle w:val="FootnoteReference"/>
          <w:rFonts w:ascii="Bookman Old Style" w:hAnsi="Bookman Old Style"/>
          <w:color w:val="000000"/>
          <w:shd w:val="clear" w:color="auto" w:fill="FFFFFF"/>
        </w:rPr>
        <w:footnoteReference w:id="146"/>
      </w:r>
      <w:r w:rsidRPr="00690309">
        <w:rPr>
          <w:rFonts w:ascii="Bookman Old Style" w:hAnsi="Bookman Old Style"/>
          <w:color w:val="000000"/>
          <w:shd w:val="clear" w:color="auto" w:fill="FFFFFF"/>
        </w:rPr>
        <w:t>.</w:t>
      </w:r>
    </w:p>
    <w:p w:rsidR="00AE565E" w:rsidRPr="00690309" w:rsidRDefault="00AE565E" w:rsidP="00690309">
      <w:pPr>
        <w:pStyle w:val="NormalWeb"/>
        <w:spacing w:line="360" w:lineRule="auto"/>
        <w:ind w:firstLine="720"/>
        <w:jc w:val="both"/>
        <w:rPr>
          <w:rFonts w:ascii="Bookman Old Style" w:hAnsi="Bookman Old Style"/>
        </w:rPr>
      </w:pPr>
      <w:r w:rsidRPr="00690309">
        <w:rPr>
          <w:rFonts w:ascii="Bookman Old Style" w:hAnsi="Bookman Old Style"/>
        </w:rPr>
        <w:t>Τέλος,</w:t>
      </w:r>
      <w:r w:rsidRPr="00690309">
        <w:rPr>
          <w:rFonts w:ascii="Bookman Old Style" w:hAnsi="Bookman Old Style"/>
          <w:color w:val="222222"/>
          <w:shd w:val="clear" w:color="auto" w:fill="FFFFFF"/>
        </w:rPr>
        <w:t xml:space="preserve"> αξιοσημέιωτο είναι </w:t>
      </w:r>
      <w:r w:rsidR="00147E78">
        <w:rPr>
          <w:rFonts w:ascii="Bookman Old Style" w:hAnsi="Bookman Old Style"/>
          <w:color w:val="222222"/>
          <w:shd w:val="clear" w:color="auto" w:fill="FFFFFF"/>
        </w:rPr>
        <w:t xml:space="preserve">και </w:t>
      </w:r>
      <w:r w:rsidRPr="00690309">
        <w:rPr>
          <w:rFonts w:ascii="Bookman Old Style" w:hAnsi="Bookman Old Style"/>
        </w:rPr>
        <w:t xml:space="preserve">το Δίκαιο της Φινλανδίας, που </w:t>
      </w:r>
      <w:r w:rsidR="00445B1F" w:rsidRPr="00690309">
        <w:rPr>
          <w:rFonts w:ascii="Bookman Old Style" w:hAnsi="Bookman Old Style"/>
        </w:rPr>
        <w:t>προβλέπει</w:t>
      </w:r>
      <w:r w:rsidR="007E4581" w:rsidRPr="007E4581">
        <w:rPr>
          <w:rFonts w:ascii="Bookman Old Style" w:hAnsi="Bookman Old Style"/>
        </w:rPr>
        <w:t xml:space="preserve"> </w:t>
      </w:r>
      <w:r w:rsidR="00445B1F" w:rsidRPr="00690309">
        <w:rPr>
          <w:rFonts w:ascii="Bookman Old Style" w:hAnsi="Bookman Old Style"/>
        </w:rPr>
        <w:t xml:space="preserve">εναλλακτικές δυνατότητες απλουστευμένων διαδικασιών για υποθέσεις </w:t>
      </w:r>
      <w:r w:rsidR="00F86936" w:rsidRPr="00690309">
        <w:rPr>
          <w:rFonts w:ascii="Bookman Old Style" w:hAnsi="Bookman Old Style"/>
        </w:rPr>
        <w:t>που δεν παρουσίαζουν πολύπλοκα ζητήματα</w:t>
      </w:r>
      <w:r w:rsidR="00445B1F" w:rsidRPr="00690309">
        <w:rPr>
          <w:rFonts w:ascii="Bookman Old Style" w:hAnsi="Bookman Old Style"/>
        </w:rPr>
        <w:t xml:space="preserve"> </w:t>
      </w:r>
      <w:r w:rsidR="00F86936" w:rsidRPr="00690309">
        <w:rPr>
          <w:rFonts w:ascii="Bookman Old Style" w:hAnsi="Bookman Old Style"/>
        </w:rPr>
        <w:t>σε σχέση με τις υποθέσεις της τακτική</w:t>
      </w:r>
      <w:r w:rsidR="00A22581">
        <w:rPr>
          <w:rFonts w:ascii="Bookman Old Style" w:hAnsi="Bookman Old Style"/>
        </w:rPr>
        <w:t>ς</w:t>
      </w:r>
      <w:r w:rsidR="00F86936" w:rsidRPr="00690309">
        <w:rPr>
          <w:rFonts w:ascii="Bookman Old Style" w:hAnsi="Bookman Old Style"/>
        </w:rPr>
        <w:t xml:space="preserve"> διαδικασίας, ανεξαρτήτως ποσού</w:t>
      </w:r>
      <w:r w:rsidR="007E4581" w:rsidRPr="00690309">
        <w:rPr>
          <w:rFonts w:ascii="Bookman Old Style" w:hAnsi="Bookman Old Style"/>
        </w:rPr>
        <w:t>, ε</w:t>
      </w:r>
      <w:r w:rsidR="007E4581">
        <w:rPr>
          <w:rFonts w:ascii="Bookman Old Style" w:hAnsi="Bookman Old Style"/>
        </w:rPr>
        <w:t>πί τη βάσει ποιοτικών κριτηρίων</w:t>
      </w:r>
      <w:r w:rsidR="007E4581" w:rsidRPr="00690309">
        <w:rPr>
          <w:rStyle w:val="FootnoteReference"/>
          <w:rFonts w:ascii="Bookman Old Style" w:hAnsi="Bookman Old Style"/>
        </w:rPr>
        <w:footnoteReference w:id="147"/>
      </w:r>
      <w:r w:rsidR="00F86936" w:rsidRPr="00690309">
        <w:rPr>
          <w:rFonts w:ascii="Bookman Old Style" w:hAnsi="Bookman Old Style"/>
        </w:rPr>
        <w:t>. Μεταξύ, δε, αυτών</w:t>
      </w:r>
      <w:r w:rsidRPr="00690309">
        <w:rPr>
          <w:rFonts w:ascii="Bookman Old Style" w:hAnsi="Bookman Old Style"/>
        </w:rPr>
        <w:t>, προαιρετικά, απλουστευμένη διαδικασία</w:t>
      </w:r>
      <w:r w:rsidRPr="00690309">
        <w:rPr>
          <w:rStyle w:val="FootnoteReference"/>
          <w:rFonts w:ascii="Bookman Old Style" w:hAnsi="Bookman Old Style"/>
        </w:rPr>
        <w:footnoteReference w:id="148"/>
      </w:r>
      <w:r w:rsidRPr="00690309">
        <w:rPr>
          <w:rFonts w:ascii="Bookman Old Style" w:hAnsi="Bookman Old Style"/>
        </w:rPr>
        <w:t xml:space="preserve"> για την είσπραξη και εκκαθάριση μη αμφισβητούμενων </w:t>
      </w:r>
      <w:r w:rsidRPr="00690309">
        <w:rPr>
          <w:rFonts w:ascii="Bookman Old Style" w:hAnsi="Bookman Old Style"/>
        </w:rPr>
        <w:lastRenderedPageBreak/>
        <w:t>απαιτήσεων ενώπιον του Πρωτοδικείου</w:t>
      </w:r>
      <w:r w:rsidRPr="00690309">
        <w:rPr>
          <w:rStyle w:val="FootnoteReference"/>
          <w:rFonts w:ascii="Bookman Old Style" w:hAnsi="Bookman Old Style"/>
        </w:rPr>
        <w:footnoteReference w:id="149"/>
      </w:r>
      <w:r w:rsidRPr="00690309">
        <w:rPr>
          <w:rFonts w:ascii="Bookman Old Style" w:hAnsi="Bookman Old Style"/>
        </w:rPr>
        <w:t>, στα πλαίσια της εκούσιας δικαιοδοσίας</w:t>
      </w:r>
      <w:r w:rsidRPr="00690309">
        <w:rPr>
          <w:rStyle w:val="FootnoteReference"/>
          <w:rFonts w:ascii="Bookman Old Style" w:hAnsi="Bookman Old Style"/>
        </w:rPr>
        <w:footnoteReference w:id="150"/>
      </w:r>
      <w:r w:rsidRPr="00690309">
        <w:rPr>
          <w:rFonts w:ascii="Bookman Old Style" w:hAnsi="Bookman Old Style"/>
        </w:rPr>
        <w:t xml:space="preserve">, </w:t>
      </w:r>
      <w:r w:rsidR="00F86936" w:rsidRPr="00690309">
        <w:rPr>
          <w:rFonts w:ascii="Bookman Old Style" w:hAnsi="Bookman Old Style"/>
        </w:rPr>
        <w:t>που</w:t>
      </w:r>
      <w:r w:rsidRPr="00690309">
        <w:rPr>
          <w:rFonts w:ascii="Bookman Old Style" w:hAnsi="Bookman Old Style"/>
        </w:rPr>
        <w:t xml:space="preserve"> ρυθμίζεται, λεπτομερώς, στο 8</w:t>
      </w:r>
      <w:r w:rsidRPr="00690309">
        <w:rPr>
          <w:rFonts w:ascii="Bookman Old Style" w:hAnsi="Bookman Old Style"/>
          <w:vertAlign w:val="superscript"/>
        </w:rPr>
        <w:t>ο</w:t>
      </w:r>
      <w:r w:rsidRPr="00690309">
        <w:rPr>
          <w:rFonts w:ascii="Bookman Old Style" w:hAnsi="Bookman Old Style"/>
        </w:rPr>
        <w:t xml:space="preserve"> Κεφάλαιο του ΦινλΚΠολΔ</w:t>
      </w:r>
      <w:r w:rsidRPr="00690309">
        <w:rPr>
          <w:rStyle w:val="FootnoteReference"/>
          <w:rFonts w:ascii="Bookman Old Style" w:hAnsi="Bookman Old Style"/>
        </w:rPr>
        <w:footnoteReference w:id="151"/>
      </w:r>
      <w:r w:rsidRPr="00690309">
        <w:rPr>
          <w:rFonts w:ascii="Bookman Old Style" w:hAnsi="Bookman Old Style"/>
        </w:rPr>
        <w:t>. Η διαδικασία άρχεται με κατάθεση γραπτής αίτησης</w:t>
      </w:r>
      <w:r w:rsidRPr="00690309">
        <w:rPr>
          <w:rStyle w:val="FootnoteReference"/>
          <w:rFonts w:ascii="Bookman Old Style" w:hAnsi="Bookman Old Style"/>
        </w:rPr>
        <w:footnoteReference w:id="152"/>
      </w:r>
      <w:r w:rsidRPr="00690309">
        <w:rPr>
          <w:rFonts w:ascii="Bookman Old Style" w:hAnsi="Bookman Old Style"/>
        </w:rPr>
        <w:t>, που περιλαμβάνει την αξίωση, την αιτία της, καθώς, και τα στοιχεία επικοινωνίας των μερών</w:t>
      </w:r>
      <w:r w:rsidRPr="00690309">
        <w:rPr>
          <w:rStyle w:val="FootnoteReference"/>
          <w:rFonts w:ascii="Bookman Old Style" w:hAnsi="Bookman Old Style"/>
        </w:rPr>
        <w:footnoteReference w:id="153"/>
      </w:r>
      <w:r w:rsidRPr="00690309">
        <w:rPr>
          <w:rFonts w:ascii="Bookman Old Style" w:hAnsi="Bookman Old Style"/>
        </w:rPr>
        <w:t>, αποστέλλεται, δε, στον καθ’ ου, ο οποίος, εντός προθεσμίας</w:t>
      </w:r>
      <w:r w:rsidRPr="00690309">
        <w:rPr>
          <w:rStyle w:val="FootnoteReference"/>
          <w:rFonts w:ascii="Bookman Old Style" w:hAnsi="Bookman Old Style"/>
        </w:rPr>
        <w:footnoteReference w:id="154"/>
      </w:r>
      <w:r w:rsidRPr="00690309">
        <w:rPr>
          <w:rFonts w:ascii="Bookman Old Style" w:hAnsi="Bookman Old Style"/>
        </w:rPr>
        <w:t xml:space="preserve"> , δύναται να απαντήσει αν αμφισβητεί, αιτιολογημένα</w:t>
      </w:r>
      <w:r w:rsidRPr="00690309">
        <w:rPr>
          <w:rStyle w:val="FootnoteReference"/>
          <w:rFonts w:ascii="Bookman Old Style" w:hAnsi="Bookman Old Style"/>
        </w:rPr>
        <w:footnoteReference w:id="155"/>
      </w:r>
      <w:r w:rsidRPr="00690309">
        <w:rPr>
          <w:rFonts w:ascii="Bookman Old Style" w:hAnsi="Bookman Old Style"/>
        </w:rPr>
        <w:t>, την αξίωση. Σε περίπτωση εμπρόθεσμης αμφισβήτησής της η διαδικασία παύει, η οποία συνεχίζεται κατά το κοινό δικονομικό δίκαιο, ενώ, επί άπρακτης παρόδου της προθεσμίας εκδίδεται «διάταξη», αφεαυτής εκτελεστή, η οποία μπορεί να ανατραπεί μόνο με αίτηση «αποκατάστασης» στο εκδόν Δικαστήριο, εντός αποκλειστικής προθεσμίας 30 ημερών από κοινοποίησής της</w:t>
      </w:r>
      <w:r w:rsidRPr="00690309">
        <w:rPr>
          <w:rStyle w:val="FootnoteReference"/>
          <w:rFonts w:ascii="Bookman Old Style" w:hAnsi="Bookman Old Style"/>
        </w:rPr>
        <w:footnoteReference w:id="156"/>
      </w:r>
      <w:r w:rsidRPr="00690309">
        <w:rPr>
          <w:rFonts w:ascii="Bookman Old Style" w:hAnsi="Bookman Old Style"/>
        </w:rPr>
        <w:t>. Σημειώνεται, ότι η όλη διαδικασία μπορεί να λάβει χώρα ηλεκτρονικά, επί τη βάσει προδιατυπωμένων εντύπων, στον ιστότοπο «</w:t>
      </w:r>
      <w:hyperlink r:id="rId9" w:history="1">
        <w:r w:rsidRPr="00690309">
          <w:rPr>
            <w:rStyle w:val="Hyperlink"/>
            <w:rFonts w:ascii="Bookman Old Style" w:hAnsi="Bookman Old Style"/>
          </w:rPr>
          <w:t>https://oikeus.fi/en/index.html</w:t>
        </w:r>
      </w:hyperlink>
      <w:r w:rsidRPr="00690309">
        <w:rPr>
          <w:rFonts w:ascii="Bookman Old Style" w:hAnsi="Bookman Old Style"/>
        </w:rPr>
        <w:t>»</w:t>
      </w:r>
      <w:r w:rsidRPr="00690309">
        <w:rPr>
          <w:rStyle w:val="FootnoteReference"/>
          <w:rFonts w:ascii="Bookman Old Style" w:hAnsi="Bookman Old Style"/>
        </w:rPr>
        <w:footnoteReference w:id="157"/>
      </w:r>
    </w:p>
    <w:p w:rsidR="00346644" w:rsidRDefault="00C9797E" w:rsidP="00694FA6">
      <w:pPr>
        <w:pStyle w:val="NormalWeb"/>
        <w:spacing w:line="360" w:lineRule="auto"/>
        <w:ind w:firstLine="720"/>
        <w:jc w:val="both"/>
        <w:rPr>
          <w:rFonts w:ascii="Bookman Old Style" w:hAnsi="Bookman Old Style"/>
        </w:rPr>
      </w:pPr>
      <w:r w:rsidRPr="00690309">
        <w:rPr>
          <w:rFonts w:ascii="Bookman Old Style" w:hAnsi="Bookman Old Style"/>
        </w:rPr>
        <w:t>Αντί</w:t>
      </w:r>
      <w:r w:rsidR="00D723B1" w:rsidRPr="00690309">
        <w:rPr>
          <w:rFonts w:ascii="Bookman Old Style" w:hAnsi="Bookman Old Style"/>
        </w:rPr>
        <w:t>θετα</w:t>
      </w:r>
      <w:r w:rsidRPr="00690309">
        <w:rPr>
          <w:rFonts w:ascii="Bookman Old Style" w:hAnsi="Bookman Old Style"/>
        </w:rPr>
        <w:t xml:space="preserve">, </w:t>
      </w:r>
      <w:r w:rsidR="00931119">
        <w:rPr>
          <w:rFonts w:ascii="Bookman Old Style" w:hAnsi="Bookman Old Style"/>
        </w:rPr>
        <w:t>μικροδιαφορ</w:t>
      </w:r>
      <w:r w:rsidR="00147E78">
        <w:rPr>
          <w:rFonts w:ascii="Bookman Old Style" w:hAnsi="Bookman Old Style"/>
        </w:rPr>
        <w:t>ές με εγγενή διαδικαστική αυτοτέλεια σε σχέση με τη συνήθη διαδικασία</w:t>
      </w:r>
      <w:r w:rsidR="001C494F">
        <w:rPr>
          <w:rFonts w:ascii="Bookman Old Style" w:hAnsi="Bookman Old Style"/>
        </w:rPr>
        <w:t xml:space="preserve">, </w:t>
      </w:r>
      <w:r w:rsidR="00147E78">
        <w:rPr>
          <w:rFonts w:ascii="Bookman Old Style" w:hAnsi="Bookman Old Style"/>
        </w:rPr>
        <w:t>λειτουργούν</w:t>
      </w:r>
      <w:r w:rsidRPr="00690309">
        <w:rPr>
          <w:rFonts w:ascii="Bookman Old Style" w:hAnsi="Bookman Old Style"/>
        </w:rPr>
        <w:t xml:space="preserve"> σε </w:t>
      </w:r>
      <w:r w:rsidR="007F0AEF">
        <w:rPr>
          <w:rFonts w:ascii="Bookman Old Style" w:hAnsi="Bookman Old Style"/>
        </w:rPr>
        <w:t>10</w:t>
      </w:r>
      <w:r w:rsidRPr="00690309">
        <w:rPr>
          <w:rFonts w:ascii="Bookman Old Style" w:hAnsi="Bookman Old Style"/>
        </w:rPr>
        <w:t xml:space="preserve"> κράτη μέλη και, </w:t>
      </w:r>
      <w:r w:rsidRPr="00690309">
        <w:rPr>
          <w:rFonts w:ascii="Bookman Old Style" w:hAnsi="Bookman Old Style"/>
        </w:rPr>
        <w:lastRenderedPageBreak/>
        <w:t>δη</w:t>
      </w:r>
      <w:r w:rsidRPr="00690309">
        <w:rPr>
          <w:rStyle w:val="FootnoteReference"/>
          <w:rFonts w:ascii="Bookman Old Style" w:hAnsi="Bookman Old Style"/>
        </w:rPr>
        <w:footnoteReference w:id="158"/>
      </w:r>
      <w:r w:rsidRPr="00690309">
        <w:rPr>
          <w:rFonts w:ascii="Bookman Old Style" w:hAnsi="Bookman Old Style"/>
        </w:rPr>
        <w:t xml:space="preserve">, </w:t>
      </w:r>
      <w:r w:rsidR="00AE30FA">
        <w:rPr>
          <w:rFonts w:ascii="Bookman Old Style" w:hAnsi="Bookman Old Style"/>
        </w:rPr>
        <w:t>στην</w:t>
      </w:r>
      <w:r w:rsidRPr="00690309">
        <w:rPr>
          <w:rFonts w:ascii="Bookman Old Style" w:hAnsi="Bookman Old Style"/>
        </w:rPr>
        <w:t xml:space="preserve"> Ιρλανδία, </w:t>
      </w:r>
      <w:r w:rsidR="007F0AEF">
        <w:rPr>
          <w:rFonts w:ascii="Bookman Old Style" w:hAnsi="Bookman Old Style"/>
        </w:rPr>
        <w:t xml:space="preserve">στην Ισπανία, </w:t>
      </w:r>
      <w:r w:rsidR="00AE30FA">
        <w:rPr>
          <w:rFonts w:ascii="Bookman Old Style" w:hAnsi="Bookman Old Style"/>
        </w:rPr>
        <w:t>στην</w:t>
      </w:r>
      <w:r w:rsidR="00972B7B">
        <w:rPr>
          <w:rFonts w:ascii="Bookman Old Style" w:hAnsi="Bookman Old Style"/>
        </w:rPr>
        <w:t xml:space="preserve"> </w:t>
      </w:r>
      <w:r w:rsidRPr="00690309">
        <w:rPr>
          <w:rFonts w:ascii="Bookman Old Style" w:hAnsi="Bookman Old Style"/>
        </w:rPr>
        <w:t>Κροατία</w:t>
      </w:r>
      <w:r w:rsidRPr="00690309">
        <w:rPr>
          <w:rStyle w:val="FootnoteReference"/>
          <w:rFonts w:ascii="Bookman Old Style" w:hAnsi="Bookman Old Style"/>
        </w:rPr>
        <w:footnoteReference w:id="159"/>
      </w:r>
      <w:r w:rsidRPr="00690309">
        <w:rPr>
          <w:rFonts w:ascii="Bookman Old Style" w:hAnsi="Bookman Old Style"/>
        </w:rPr>
        <w:t xml:space="preserve">, </w:t>
      </w:r>
      <w:r w:rsidR="00AE30FA">
        <w:rPr>
          <w:rFonts w:ascii="Bookman Old Style" w:hAnsi="Bookman Old Style"/>
        </w:rPr>
        <w:t xml:space="preserve">στην </w:t>
      </w:r>
      <w:r w:rsidRPr="00690309">
        <w:rPr>
          <w:rFonts w:ascii="Bookman Old Style" w:hAnsi="Bookman Old Style"/>
        </w:rPr>
        <w:t>Λετονία</w:t>
      </w:r>
      <w:r w:rsidRPr="00690309">
        <w:rPr>
          <w:rStyle w:val="FootnoteReference"/>
          <w:rFonts w:ascii="Bookman Old Style" w:hAnsi="Bookman Old Style"/>
        </w:rPr>
        <w:footnoteReference w:id="160"/>
      </w:r>
      <w:r w:rsidRPr="00690309">
        <w:rPr>
          <w:rFonts w:ascii="Bookman Old Style" w:hAnsi="Bookman Old Style"/>
        </w:rPr>
        <w:t xml:space="preserve">, </w:t>
      </w:r>
      <w:r w:rsidR="00AE30FA">
        <w:rPr>
          <w:rFonts w:ascii="Bookman Old Style" w:hAnsi="Bookman Old Style"/>
        </w:rPr>
        <w:t xml:space="preserve">στην </w:t>
      </w:r>
      <w:r w:rsidRPr="00690309">
        <w:rPr>
          <w:rFonts w:ascii="Bookman Old Style" w:hAnsi="Bookman Old Style"/>
        </w:rPr>
        <w:t>Λιθουανία</w:t>
      </w:r>
      <w:r w:rsidRPr="00690309">
        <w:rPr>
          <w:rStyle w:val="FootnoteReference"/>
          <w:rFonts w:ascii="Bookman Old Style" w:hAnsi="Bookman Old Style"/>
        </w:rPr>
        <w:footnoteReference w:id="161"/>
      </w:r>
      <w:r w:rsidRPr="00690309">
        <w:rPr>
          <w:rFonts w:ascii="Bookman Old Style" w:hAnsi="Bookman Old Style"/>
        </w:rPr>
        <w:t xml:space="preserve">, </w:t>
      </w:r>
      <w:r w:rsidR="00AE30FA">
        <w:rPr>
          <w:rFonts w:ascii="Bookman Old Style" w:hAnsi="Bookman Old Style"/>
        </w:rPr>
        <w:t xml:space="preserve">στην </w:t>
      </w:r>
      <w:r w:rsidRPr="00690309">
        <w:rPr>
          <w:rFonts w:ascii="Bookman Old Style" w:hAnsi="Bookman Old Style"/>
        </w:rPr>
        <w:t>Μάλτα</w:t>
      </w:r>
      <w:r w:rsidRPr="00690309">
        <w:rPr>
          <w:rStyle w:val="FootnoteReference"/>
          <w:rFonts w:ascii="Bookman Old Style" w:hAnsi="Bookman Old Style"/>
        </w:rPr>
        <w:footnoteReference w:id="162"/>
      </w:r>
      <w:r w:rsidRPr="00690309">
        <w:rPr>
          <w:rFonts w:ascii="Bookman Old Style" w:hAnsi="Bookman Old Style"/>
        </w:rPr>
        <w:t>, Πολωνία</w:t>
      </w:r>
      <w:r w:rsidRPr="00690309">
        <w:rPr>
          <w:rStyle w:val="FootnoteReference"/>
          <w:rFonts w:ascii="Bookman Old Style" w:hAnsi="Bookman Old Style"/>
        </w:rPr>
        <w:footnoteReference w:id="163"/>
      </w:r>
      <w:r w:rsidRPr="00690309">
        <w:rPr>
          <w:rFonts w:ascii="Bookman Old Style" w:hAnsi="Bookman Old Style"/>
        </w:rPr>
        <w:t>, Ρουμανία</w:t>
      </w:r>
      <w:r w:rsidRPr="00690309">
        <w:rPr>
          <w:rStyle w:val="FootnoteReference"/>
          <w:rFonts w:ascii="Bookman Old Style" w:hAnsi="Bookman Old Style"/>
        </w:rPr>
        <w:footnoteReference w:id="164"/>
      </w:r>
      <w:r w:rsidRPr="00690309">
        <w:rPr>
          <w:rFonts w:ascii="Bookman Old Style" w:hAnsi="Bookman Old Style"/>
        </w:rPr>
        <w:t>, Σλοβενία</w:t>
      </w:r>
      <w:r w:rsidRPr="00690309">
        <w:rPr>
          <w:rStyle w:val="FootnoteReference"/>
          <w:rFonts w:ascii="Bookman Old Style" w:hAnsi="Bookman Old Style"/>
        </w:rPr>
        <w:footnoteReference w:id="165"/>
      </w:r>
      <w:r w:rsidR="00AE565E" w:rsidRPr="00690309">
        <w:rPr>
          <w:rFonts w:ascii="Bookman Old Style" w:hAnsi="Bookman Old Style"/>
        </w:rPr>
        <w:t xml:space="preserve"> και στην </w:t>
      </w:r>
      <w:r w:rsidRPr="00690309">
        <w:rPr>
          <w:rFonts w:ascii="Bookman Old Style" w:hAnsi="Bookman Old Style"/>
        </w:rPr>
        <w:t>Σουηδία</w:t>
      </w:r>
      <w:r w:rsidRPr="00690309">
        <w:rPr>
          <w:rStyle w:val="FootnoteReference"/>
          <w:rFonts w:ascii="Bookman Old Style" w:hAnsi="Bookman Old Style"/>
        </w:rPr>
        <w:footnoteReference w:id="166"/>
      </w:r>
      <w:r w:rsidR="00F94737">
        <w:rPr>
          <w:rFonts w:ascii="Bookman Old Style" w:hAnsi="Bookman Old Style"/>
        </w:rPr>
        <w:t>. Εξ΄αυτών</w:t>
      </w:r>
      <w:r w:rsidR="00346644">
        <w:rPr>
          <w:rFonts w:ascii="Bookman Old Style" w:hAnsi="Bookman Old Style"/>
        </w:rPr>
        <w:t>:</w:t>
      </w:r>
    </w:p>
    <w:p w:rsidR="00694FA6" w:rsidRDefault="00346644" w:rsidP="00694FA6">
      <w:pPr>
        <w:pStyle w:val="NormalWeb"/>
        <w:spacing w:line="360" w:lineRule="auto"/>
        <w:ind w:firstLine="720"/>
        <w:jc w:val="both"/>
        <w:rPr>
          <w:rFonts w:ascii="Bookman Old Style" w:hAnsi="Bookman Old Style"/>
        </w:rPr>
      </w:pPr>
      <w:r>
        <w:rPr>
          <w:rFonts w:ascii="Bookman Old Style" w:hAnsi="Bookman Old Style"/>
        </w:rPr>
        <w:lastRenderedPageBreak/>
        <w:t xml:space="preserve">Το Δίκαιο της Ιρλανδίας </w:t>
      </w:r>
      <w:r w:rsidR="00C9797E" w:rsidRPr="00690309">
        <w:rPr>
          <w:rFonts w:ascii="Bookman Old Style" w:hAnsi="Bookman Old Style"/>
        </w:rPr>
        <w:t>προβλέπει</w:t>
      </w:r>
      <w:r w:rsidR="00775F87" w:rsidRPr="00690309">
        <w:rPr>
          <w:rFonts w:ascii="Bookman Old Style" w:hAnsi="Bookman Old Style"/>
        </w:rPr>
        <w:t>, προαιρετικά</w:t>
      </w:r>
      <w:r w:rsidR="00C9797E" w:rsidRPr="00690309">
        <w:rPr>
          <w:rStyle w:val="FootnoteReference"/>
          <w:rFonts w:ascii="Bookman Old Style" w:hAnsi="Bookman Old Style"/>
        </w:rPr>
        <w:footnoteReference w:id="167"/>
      </w:r>
      <w:r w:rsidR="00775F87" w:rsidRPr="00690309">
        <w:rPr>
          <w:rFonts w:ascii="Bookman Old Style" w:hAnsi="Bookman Old Style"/>
        </w:rPr>
        <w:t>,</w:t>
      </w:r>
      <w:r w:rsidR="00C9797E" w:rsidRPr="00690309">
        <w:rPr>
          <w:rFonts w:ascii="Bookman Old Style" w:hAnsi="Bookman Old Style"/>
        </w:rPr>
        <w:t xml:space="preserve"> εναλλακτική</w:t>
      </w:r>
      <w:r w:rsidR="00694FA6">
        <w:rPr>
          <w:rFonts w:ascii="Bookman Old Style" w:hAnsi="Bookman Old Style"/>
        </w:rPr>
        <w:t>, ειδική</w:t>
      </w:r>
      <w:r w:rsidR="00C9797E" w:rsidRPr="00690309">
        <w:rPr>
          <w:rFonts w:ascii="Bookman Old Style" w:hAnsi="Bookman Old Style"/>
        </w:rPr>
        <w:t xml:space="preserve"> διαδικασία μικροδιαφορών έως το ποσό των 2.000,00 ευρώ, για υποθέσεις πώλησης καταναλωτικών αγαθών και προϊόντων, ακόμα και για επαγγελματική χρήση, για ελαφρές περιουσιακές ζημίες</w:t>
      </w:r>
      <w:r w:rsidR="00C9797E" w:rsidRPr="00690309">
        <w:rPr>
          <w:rStyle w:val="FootnoteReference"/>
          <w:rFonts w:ascii="Bookman Old Style" w:hAnsi="Bookman Old Style"/>
        </w:rPr>
        <w:footnoteReference w:id="168"/>
      </w:r>
      <w:r w:rsidR="00C9797E" w:rsidRPr="00690309">
        <w:rPr>
          <w:rFonts w:ascii="Bookman Old Style" w:hAnsi="Bookman Old Style"/>
        </w:rPr>
        <w:t>, καθώς, και για επιστροφή εγγύησης μίσθωσης</w:t>
      </w:r>
      <w:r w:rsidR="00C9797E" w:rsidRPr="00690309">
        <w:rPr>
          <w:rStyle w:val="FootnoteReference"/>
          <w:rFonts w:ascii="Bookman Old Style" w:hAnsi="Bookman Old Style"/>
        </w:rPr>
        <w:footnoteReference w:id="169"/>
      </w:r>
      <w:r w:rsidR="00C9797E" w:rsidRPr="00690309">
        <w:rPr>
          <w:rFonts w:ascii="Bookman Old Style" w:hAnsi="Bookman Old Style"/>
        </w:rPr>
        <w:t>. Η μικροδιαφορά</w:t>
      </w:r>
      <w:r w:rsidR="00C9797E" w:rsidRPr="00690309">
        <w:rPr>
          <w:rStyle w:val="FootnoteReference"/>
          <w:rFonts w:ascii="Bookman Old Style" w:hAnsi="Bookman Old Style"/>
        </w:rPr>
        <w:footnoteReference w:id="170"/>
      </w:r>
      <w:r w:rsidR="00C9797E" w:rsidRPr="00690309">
        <w:rPr>
          <w:rFonts w:ascii="Bookman Old Style" w:hAnsi="Bookman Old Style"/>
        </w:rPr>
        <w:t xml:space="preserve"> συγκεντρώνεται</w:t>
      </w:r>
      <w:r w:rsidR="00C9797E" w:rsidRPr="00690309">
        <w:rPr>
          <w:rStyle w:val="FootnoteReference"/>
          <w:rFonts w:ascii="Bookman Old Style" w:hAnsi="Bookman Old Style"/>
        </w:rPr>
        <w:footnoteReference w:id="171"/>
      </w:r>
      <w:r w:rsidR="00C9797E" w:rsidRPr="00690309">
        <w:rPr>
          <w:rFonts w:ascii="Bookman Old Style" w:hAnsi="Bookman Old Style"/>
        </w:rPr>
        <w:t xml:space="preserve"> ενώπιον του Γραμματέα Μικροδιαφορών</w:t>
      </w:r>
      <w:r w:rsidR="00775F87" w:rsidRPr="00690309">
        <w:rPr>
          <w:rStyle w:val="FootnoteReference"/>
          <w:rFonts w:ascii="Bookman Old Style" w:hAnsi="Bookman Old Style"/>
        </w:rPr>
        <w:footnoteReference w:id="172"/>
      </w:r>
      <w:r w:rsidR="00C9797E" w:rsidRPr="00690309">
        <w:rPr>
          <w:rFonts w:ascii="Bookman Old Style" w:hAnsi="Bookman Old Style"/>
        </w:rPr>
        <w:t xml:space="preserve"> του Πρωτοδικείου</w:t>
      </w:r>
      <w:r w:rsidR="00C9797E" w:rsidRPr="00690309">
        <w:rPr>
          <w:rStyle w:val="FootnoteReference"/>
          <w:rFonts w:ascii="Bookman Old Style" w:hAnsi="Bookman Old Style"/>
          <w:lang w:val="en-US"/>
        </w:rPr>
        <w:footnoteReference w:id="173"/>
      </w:r>
      <w:r w:rsidR="00C9797E" w:rsidRPr="00690309">
        <w:rPr>
          <w:rFonts w:ascii="Bookman Old Style" w:hAnsi="Bookman Old Style"/>
        </w:rPr>
        <w:t>, επί τη βάσει προδιατυπωμένων εγγράφων</w:t>
      </w:r>
      <w:r w:rsidR="00C9797E" w:rsidRPr="00690309">
        <w:rPr>
          <w:rStyle w:val="FootnoteReference"/>
          <w:rFonts w:ascii="Bookman Old Style" w:hAnsi="Bookman Old Style"/>
        </w:rPr>
        <w:footnoteReference w:id="174"/>
      </w:r>
      <w:r w:rsidR="00C9797E" w:rsidRPr="00690309">
        <w:rPr>
          <w:rFonts w:ascii="Bookman Old Style" w:hAnsi="Bookman Old Style"/>
        </w:rPr>
        <w:t>, την οποία δικαιούται είτε να αποδεχτεί ο εναγόμενος, είτε να την αμφισβητήσει. Στην περίπτωση αποδοχής ή έλλειψης απάντησης</w:t>
      </w:r>
      <w:r w:rsidR="00C9797E" w:rsidRPr="00690309">
        <w:rPr>
          <w:rStyle w:val="FootnoteReference"/>
          <w:rFonts w:ascii="Bookman Old Style" w:hAnsi="Bookman Old Style"/>
        </w:rPr>
        <w:footnoteReference w:id="175"/>
      </w:r>
      <w:r w:rsidR="00C9797E" w:rsidRPr="00690309">
        <w:rPr>
          <w:rFonts w:ascii="Bookman Old Style" w:hAnsi="Bookman Old Style"/>
        </w:rPr>
        <w:t>, ο Γραμματέας Μικροδιαφορών εισάγει την υπόθεση στο Δικαστήριο, το οποίο, ερήμην των διαδίκων, εκδίδει απόφαση, αμέσως εκτελεστή. Αντίθετα, αν ο εναγόμενος αμφισβητήσει την μικροδιαφορά, η υπόθεση</w:t>
      </w:r>
      <w:r w:rsidR="00C9797E" w:rsidRPr="00690309">
        <w:rPr>
          <w:rStyle w:val="FootnoteReference"/>
          <w:rFonts w:ascii="Bookman Old Style" w:hAnsi="Bookman Old Style"/>
        </w:rPr>
        <w:footnoteReference w:id="176"/>
      </w:r>
      <w:r w:rsidR="00C9797E" w:rsidRPr="00690309">
        <w:rPr>
          <w:rFonts w:ascii="Bookman Old Style" w:hAnsi="Bookman Old Style"/>
        </w:rPr>
        <w:t xml:space="preserve"> εισάγεται προς προφορική συζήτηση από τον Γραμματέα στο Δικαστήριο, κατά την οποία παρίστανται, υποχρεωτικά, οι διάδικοι, η, δε, απόφαση υπόκειται στο ένδικο μέσο της έφεσης</w:t>
      </w:r>
      <w:r w:rsidR="00C9797E" w:rsidRPr="00690309">
        <w:rPr>
          <w:rStyle w:val="FootnoteReference"/>
          <w:rFonts w:ascii="Bookman Old Style" w:hAnsi="Bookman Old Style"/>
        </w:rPr>
        <w:footnoteReference w:id="177"/>
      </w:r>
      <w:r w:rsidR="00C9797E" w:rsidRPr="00690309">
        <w:rPr>
          <w:rFonts w:ascii="Bookman Old Style" w:hAnsi="Bookman Old Style"/>
        </w:rPr>
        <w:t xml:space="preserve">.  </w:t>
      </w:r>
    </w:p>
    <w:p w:rsidR="007F0AEF" w:rsidRDefault="007F0AEF" w:rsidP="007F0AEF">
      <w:pPr>
        <w:pStyle w:val="NormalWeb"/>
        <w:spacing w:line="360" w:lineRule="auto"/>
        <w:ind w:firstLine="720"/>
        <w:jc w:val="both"/>
        <w:rPr>
          <w:rFonts w:ascii="Bookman Old Style" w:hAnsi="Bookman Old Style"/>
        </w:rPr>
      </w:pPr>
      <w:r>
        <w:rPr>
          <w:rFonts w:ascii="Bookman Old Style" w:hAnsi="Bookman Old Style"/>
        </w:rPr>
        <w:lastRenderedPageBreak/>
        <w:t>Σ</w:t>
      </w:r>
      <w:r w:rsidRPr="00690309">
        <w:rPr>
          <w:rFonts w:ascii="Bookman Old Style" w:hAnsi="Bookman Old Style"/>
        </w:rPr>
        <w:t>την Ισπανία η διαδικασία ενώπιον του Πρωτοδικείου</w:t>
      </w:r>
      <w:r w:rsidRPr="00690309">
        <w:rPr>
          <w:rStyle w:val="FootnoteReference"/>
          <w:rFonts w:ascii="Bookman Old Style" w:hAnsi="Bookman Old Style"/>
        </w:rPr>
        <w:footnoteReference w:id="178"/>
      </w:r>
      <w:r w:rsidRPr="00690309">
        <w:rPr>
          <w:rFonts w:ascii="Bookman Old Style" w:hAnsi="Bookman Old Style"/>
        </w:rPr>
        <w:t xml:space="preserve"> διακρίνεται</w:t>
      </w:r>
      <w:r w:rsidRPr="00690309">
        <w:rPr>
          <w:rStyle w:val="FootnoteReference"/>
          <w:rFonts w:ascii="Bookman Old Style" w:hAnsi="Bookman Old Style"/>
        </w:rPr>
        <w:footnoteReference w:id="179"/>
      </w:r>
      <w:r w:rsidRPr="00690309">
        <w:rPr>
          <w:rFonts w:ascii="Bookman Old Style" w:hAnsi="Bookman Old Style"/>
        </w:rPr>
        <w:t xml:space="preserve"> σε «τακτική» και «ταχεία»</w:t>
      </w:r>
      <w:r w:rsidRPr="00690309">
        <w:rPr>
          <w:rStyle w:val="FootnoteReference"/>
          <w:rFonts w:ascii="Bookman Old Style" w:hAnsi="Bookman Old Style"/>
        </w:rPr>
        <w:footnoteReference w:id="180"/>
      </w:r>
      <w:r w:rsidRPr="00690309">
        <w:rPr>
          <w:rFonts w:ascii="Bookman Old Style" w:hAnsi="Bookman Old Style"/>
        </w:rPr>
        <w:t>. Η πρώτη εξ αυτών περιλαμβάνει προδικαστική ακρόαση για την επίλυση προδικαστικών ζητημάτων, όπως, λ.χ. κατάθεση εγγράφων, αξιολόγηση των αποδεικτικών μέσων που θα γίνουν αποδεκτά κατά την συζήτηση κ.ο.κ., ενώ, στη δεύτερη η ιδία διαδικασία συγκεντρώνεται, άπαξ, στην προφορική συζήτηση της διαφοράς, η οποία  δεν μπορεί να υπερβαίνει το ποσό των 6.000,00 ευρώ</w:t>
      </w:r>
      <w:r w:rsidRPr="00690309">
        <w:rPr>
          <w:rStyle w:val="FootnoteReference"/>
          <w:rFonts w:ascii="Bookman Old Style" w:hAnsi="Bookman Old Style"/>
        </w:rPr>
        <w:footnoteReference w:id="181"/>
      </w:r>
      <w:r w:rsidRPr="00690309">
        <w:rPr>
          <w:rFonts w:ascii="Bookman Old Style" w:hAnsi="Bookman Old Style"/>
        </w:rPr>
        <w:t xml:space="preserve">. Στην πραγματικότητα, όμως, δεν πρόκειται για γνήσια </w:t>
      </w:r>
      <w:r>
        <w:rPr>
          <w:rFonts w:ascii="Bookman Old Style" w:hAnsi="Bookman Old Style"/>
        </w:rPr>
        <w:t>διαδικασία</w:t>
      </w:r>
      <w:r w:rsidRPr="00690309">
        <w:rPr>
          <w:rFonts w:ascii="Bookman Old Style" w:hAnsi="Bookman Old Style"/>
        </w:rPr>
        <w:t xml:space="preserve"> μικροδιαφορών</w:t>
      </w:r>
      <w:r w:rsidRPr="00690309">
        <w:rPr>
          <w:rStyle w:val="FootnoteReference"/>
          <w:rFonts w:ascii="Bookman Old Style" w:hAnsi="Bookman Old Style"/>
        </w:rPr>
        <w:footnoteReference w:id="182"/>
      </w:r>
      <w:r w:rsidRPr="00690309">
        <w:rPr>
          <w:rFonts w:ascii="Bookman Old Style" w:hAnsi="Bookman Old Style"/>
        </w:rPr>
        <w:t xml:space="preserve">, η οποία προβλέπεται μόνο για </w:t>
      </w:r>
      <w:r w:rsidR="00241B8F">
        <w:rPr>
          <w:rFonts w:ascii="Bookman Old Style" w:hAnsi="Bookman Old Style"/>
        </w:rPr>
        <w:t xml:space="preserve">τις </w:t>
      </w:r>
      <w:r w:rsidRPr="00690309">
        <w:rPr>
          <w:rFonts w:ascii="Bookman Old Style" w:hAnsi="Bookman Old Style"/>
        </w:rPr>
        <w:t>αστικές υποθέσεις έως το ποσό των 2.000,00 ευρώ</w:t>
      </w:r>
      <w:r>
        <w:rPr>
          <w:rStyle w:val="FootnoteReference"/>
          <w:rFonts w:ascii="Bookman Old Style" w:hAnsi="Bookman Old Style"/>
        </w:rPr>
        <w:footnoteReference w:id="183"/>
      </w:r>
      <w:r w:rsidRPr="00690309">
        <w:rPr>
          <w:rFonts w:ascii="Bookman Old Style" w:hAnsi="Bookman Old Style"/>
        </w:rPr>
        <w:t>, επί τη βάσει προδιατυπωμένων εγγράφων</w:t>
      </w:r>
      <w:r w:rsidRPr="00690309">
        <w:rPr>
          <w:rStyle w:val="FootnoteReference"/>
          <w:rFonts w:ascii="Bookman Old Style" w:hAnsi="Bookman Old Style"/>
        </w:rPr>
        <w:footnoteReference w:id="184"/>
      </w:r>
      <w:r w:rsidRPr="00690309">
        <w:rPr>
          <w:rFonts w:ascii="Bookman Old Style" w:hAnsi="Bookman Old Style"/>
        </w:rPr>
        <w:t xml:space="preserve"> και χωρίς υποχρεωτική παράσταση πληρεξουσίου Δικηγόρου, ενώ, η απόφαση έως το ποσό των 3.000,00 ευρώ</w:t>
      </w:r>
      <w:r w:rsidRPr="00690309">
        <w:rPr>
          <w:rStyle w:val="FootnoteReference"/>
          <w:rFonts w:ascii="Bookman Old Style" w:hAnsi="Bookman Old Style"/>
        </w:rPr>
        <w:footnoteReference w:id="185"/>
      </w:r>
      <w:r w:rsidRPr="00690309">
        <w:rPr>
          <w:rFonts w:ascii="Bookman Old Style" w:hAnsi="Bookman Old Style"/>
        </w:rPr>
        <w:t xml:space="preserve"> καθίσταται απρόσβλητη</w:t>
      </w:r>
      <w:r>
        <w:rPr>
          <w:rStyle w:val="FootnoteReference"/>
          <w:rFonts w:ascii="Bookman Old Style" w:hAnsi="Bookman Old Style"/>
        </w:rPr>
        <w:footnoteReference w:id="186"/>
      </w:r>
      <w:r w:rsidRPr="00690309">
        <w:rPr>
          <w:rFonts w:ascii="Bookman Old Style" w:hAnsi="Bookman Old Style"/>
        </w:rPr>
        <w:t xml:space="preserve">. </w:t>
      </w:r>
    </w:p>
    <w:p w:rsidR="00147E78" w:rsidRPr="00147E78" w:rsidRDefault="00346644" w:rsidP="00147E78">
      <w:pPr>
        <w:pStyle w:val="NormalWeb"/>
        <w:spacing w:line="360" w:lineRule="auto"/>
        <w:ind w:firstLine="720"/>
        <w:jc w:val="both"/>
        <w:rPr>
          <w:rFonts w:ascii="Bookman Old Style" w:hAnsi="Bookman Old Style"/>
        </w:rPr>
      </w:pPr>
      <w:r w:rsidRPr="00147E78">
        <w:rPr>
          <w:rFonts w:ascii="Bookman Old Style" w:hAnsi="Bookman Old Style"/>
        </w:rPr>
        <w:t>Τέλος</w:t>
      </w:r>
      <w:r w:rsidR="00694FA6" w:rsidRPr="00147E78">
        <w:rPr>
          <w:rFonts w:ascii="Bookman Old Style" w:hAnsi="Bookman Old Style"/>
        </w:rPr>
        <w:t xml:space="preserve">, </w:t>
      </w:r>
      <w:r w:rsidR="007F0AEF">
        <w:rPr>
          <w:rFonts w:ascii="Bookman Old Style" w:hAnsi="Bookman Old Style"/>
        </w:rPr>
        <w:t xml:space="preserve">και </w:t>
      </w:r>
      <w:r w:rsidR="00147E78" w:rsidRPr="00147E78">
        <w:rPr>
          <w:rFonts w:ascii="Bookman Old Style" w:hAnsi="Bookman Old Style"/>
        </w:rPr>
        <w:t>στην Σουηδία για ήσσονος αξίας αστικές αξιώσεις</w:t>
      </w:r>
      <w:r w:rsidR="00147E78" w:rsidRPr="00147E78">
        <w:rPr>
          <w:rStyle w:val="FootnoteReference"/>
          <w:rFonts w:ascii="Bookman Old Style" w:hAnsi="Bookman Old Style"/>
        </w:rPr>
        <w:footnoteReference w:id="187"/>
      </w:r>
      <w:r w:rsidR="00147E78" w:rsidRPr="00147E78">
        <w:rPr>
          <w:rFonts w:ascii="Bookman Old Style" w:hAnsi="Bookman Old Style"/>
        </w:rPr>
        <w:t xml:space="preserve">, έως το ποσό των </w:t>
      </w:r>
      <w:r w:rsidR="00147E78" w:rsidRPr="00147E78">
        <w:rPr>
          <w:rFonts w:ascii="Bookman Old Style" w:hAnsi="Bookman Old Style"/>
          <w:color w:val="000000"/>
          <w:shd w:val="clear" w:color="auto" w:fill="FFFFFF"/>
        </w:rPr>
        <w:t xml:space="preserve">22.500 σουηδικών κορόνων, τιμαριθμικά αναπροσαρμοζόμενο, </w:t>
      </w:r>
      <w:r w:rsidR="00856033">
        <w:rPr>
          <w:rFonts w:ascii="Bookman Old Style" w:hAnsi="Bookman Old Style"/>
          <w:color w:val="000000"/>
          <w:shd w:val="clear" w:color="auto" w:fill="FFFFFF"/>
        </w:rPr>
        <w:t>ισχύει ειδική διαδικασία μικ</w:t>
      </w:r>
      <w:r w:rsidR="007F0AEF">
        <w:rPr>
          <w:rFonts w:ascii="Bookman Old Style" w:hAnsi="Bookman Old Style"/>
          <w:color w:val="000000"/>
          <w:shd w:val="clear" w:color="auto" w:fill="FFFFFF"/>
        </w:rPr>
        <w:t>ρ</w:t>
      </w:r>
      <w:r w:rsidR="00856033">
        <w:rPr>
          <w:rFonts w:ascii="Bookman Old Style" w:hAnsi="Bookman Old Style"/>
          <w:color w:val="000000"/>
          <w:shd w:val="clear" w:color="auto" w:fill="FFFFFF"/>
        </w:rPr>
        <w:t>ο</w:t>
      </w:r>
      <w:r w:rsidR="007F0AEF">
        <w:rPr>
          <w:rFonts w:ascii="Bookman Old Style" w:hAnsi="Bookman Old Style"/>
          <w:color w:val="000000"/>
          <w:shd w:val="clear" w:color="auto" w:fill="FFFFFF"/>
        </w:rPr>
        <w:t xml:space="preserve">διαφορών </w:t>
      </w:r>
      <w:r w:rsidR="00147E78" w:rsidRPr="00147E78">
        <w:rPr>
          <w:rFonts w:ascii="Bookman Old Style" w:hAnsi="Bookman Old Style"/>
          <w:color w:val="000000"/>
          <w:shd w:val="clear" w:color="auto" w:fill="FFFFFF"/>
        </w:rPr>
        <w:t xml:space="preserve">ενώπιον </w:t>
      </w:r>
      <w:r w:rsidR="00147E78" w:rsidRPr="00147E78">
        <w:rPr>
          <w:rFonts w:ascii="Bookman Old Style" w:hAnsi="Bookman Old Style"/>
          <w:color w:val="000000"/>
          <w:shd w:val="clear" w:color="auto" w:fill="FFFFFF"/>
        </w:rPr>
        <w:lastRenderedPageBreak/>
        <w:t>του Πρωτοδικείου</w:t>
      </w:r>
      <w:r w:rsidR="00147E78" w:rsidRPr="00147E78">
        <w:rPr>
          <w:rStyle w:val="FootnoteReference"/>
          <w:rFonts w:ascii="Bookman Old Style" w:hAnsi="Bookman Old Style"/>
          <w:color w:val="000000"/>
          <w:shd w:val="clear" w:color="auto" w:fill="FFFFFF"/>
        </w:rPr>
        <w:footnoteReference w:id="188"/>
      </w:r>
      <w:r w:rsidR="00147E78" w:rsidRPr="00147E78">
        <w:rPr>
          <w:rFonts w:ascii="Bookman Old Style" w:hAnsi="Bookman Old Style"/>
          <w:color w:val="000000"/>
          <w:shd w:val="clear" w:color="auto" w:fill="FFFFFF"/>
        </w:rPr>
        <w:t xml:space="preserve">. </w:t>
      </w:r>
      <w:r w:rsidR="00856033">
        <w:rPr>
          <w:rFonts w:ascii="Bookman Old Style" w:hAnsi="Bookman Old Style"/>
          <w:color w:val="000000"/>
          <w:shd w:val="clear" w:color="auto" w:fill="FFFFFF"/>
        </w:rPr>
        <w:t>Κινείται</w:t>
      </w:r>
      <w:r w:rsidR="00147E78" w:rsidRPr="00147E78">
        <w:rPr>
          <w:rFonts w:ascii="Bookman Old Style" w:hAnsi="Bookman Old Style"/>
          <w:color w:val="000000"/>
          <w:shd w:val="clear" w:color="auto" w:fill="FFFFFF"/>
        </w:rPr>
        <w:t xml:space="preserve">, </w:t>
      </w:r>
      <w:r w:rsidR="00856033">
        <w:rPr>
          <w:rFonts w:ascii="Bookman Old Style" w:hAnsi="Bookman Old Style"/>
          <w:color w:val="000000"/>
          <w:shd w:val="clear" w:color="auto" w:fill="FFFFFF"/>
        </w:rPr>
        <w:t xml:space="preserve">δε, </w:t>
      </w:r>
      <w:r w:rsidR="00147E78" w:rsidRPr="00147E78">
        <w:rPr>
          <w:rFonts w:ascii="Bookman Old Style" w:hAnsi="Bookman Old Style"/>
          <w:color w:val="000000"/>
          <w:shd w:val="clear" w:color="auto" w:fill="FFFFFF"/>
        </w:rPr>
        <w:t>προαιρετικά, επί τη βάσει προδιατυπωμένων εντύπων</w:t>
      </w:r>
      <w:r w:rsidR="00147E78" w:rsidRPr="00147E78">
        <w:rPr>
          <w:rStyle w:val="FootnoteReference"/>
          <w:rFonts w:ascii="Bookman Old Style" w:hAnsi="Bookman Old Style"/>
          <w:color w:val="000000"/>
          <w:shd w:val="clear" w:color="auto" w:fill="FFFFFF"/>
        </w:rPr>
        <w:footnoteReference w:id="189"/>
      </w:r>
      <w:r w:rsidR="00147E78" w:rsidRPr="00147E78">
        <w:rPr>
          <w:rFonts w:ascii="Bookman Old Style" w:hAnsi="Bookman Old Style"/>
          <w:color w:val="000000"/>
          <w:shd w:val="clear" w:color="auto" w:fill="FFFFFF"/>
        </w:rPr>
        <w:t xml:space="preserve"> και εξελίσσεται εγγράφως,</w:t>
      </w:r>
      <w:r w:rsidR="00147E78" w:rsidRPr="00147E78">
        <w:rPr>
          <w:rFonts w:ascii="Bookman Old Style" w:hAnsi="Bookman Old Style"/>
        </w:rPr>
        <w:t xml:space="preserve"> εφόσον δεν απαιτείται προφορική διαδικασία για τη διερεύνηση της υπόθεσης ούτε έχει ζητηθεί τέτοια από τους διαδίκους,</w:t>
      </w:r>
      <w:r w:rsidR="00147E78" w:rsidRPr="00147E78">
        <w:rPr>
          <w:rFonts w:ascii="Bookman Old Style" w:hAnsi="Bookman Old Style"/>
          <w:color w:val="000000"/>
          <w:shd w:val="clear" w:color="auto" w:fill="FFFFFF"/>
        </w:rPr>
        <w:t xml:space="preserve"> έως την έκδοση απόφασης, η οποία υπόκειται στο ένδικο μέσο της έφεσης, εφόσον το επιτρέψει το εκδόν Δικαστήριο για λόγους ευρύτερου ενδιαφέροντος, είτε διότι υπάρχουν υπόνοιες ότι η απόφαση μπορεί να ανατραπεί</w:t>
      </w:r>
      <w:r w:rsidR="00147E78" w:rsidRPr="00147E78">
        <w:rPr>
          <w:rStyle w:val="FootnoteReference"/>
          <w:rFonts w:ascii="Bookman Old Style" w:hAnsi="Bookman Old Style"/>
          <w:color w:val="000000"/>
          <w:shd w:val="clear" w:color="auto" w:fill="FFFFFF"/>
        </w:rPr>
        <w:footnoteReference w:id="190"/>
      </w:r>
      <w:r w:rsidR="00147E78" w:rsidRPr="00147E78">
        <w:rPr>
          <w:rFonts w:ascii="Bookman Old Style" w:hAnsi="Bookman Old Style"/>
          <w:color w:val="000000"/>
          <w:shd w:val="clear" w:color="auto" w:fill="FFFFFF"/>
        </w:rPr>
        <w:t xml:space="preserve">, </w:t>
      </w:r>
    </w:p>
    <w:p w:rsidR="001159B2" w:rsidRPr="00690309" w:rsidRDefault="008C5E27" w:rsidP="00690309">
      <w:pPr>
        <w:spacing w:line="360" w:lineRule="auto"/>
        <w:ind w:firstLine="720"/>
        <w:jc w:val="both"/>
        <w:rPr>
          <w:rFonts w:ascii="Bookman Old Style" w:eastAsia="Times New Roman" w:hAnsi="Bookman Old Style" w:cs="Times New Roman"/>
          <w:sz w:val="24"/>
          <w:szCs w:val="24"/>
        </w:rPr>
      </w:pPr>
      <w:r w:rsidRPr="00690309">
        <w:rPr>
          <w:rFonts w:ascii="Bookman Old Style" w:eastAsia="Times New Roman" w:hAnsi="Bookman Old Style" w:cs="Times New Roman"/>
          <w:sz w:val="24"/>
          <w:szCs w:val="24"/>
        </w:rPr>
        <w:t xml:space="preserve">Από τις ανωτέρω παρατηρήσεις συνάγεται </w:t>
      </w:r>
      <w:r w:rsidR="00FA11E9" w:rsidRPr="00690309">
        <w:rPr>
          <w:rFonts w:ascii="Bookman Old Style" w:eastAsia="Times New Roman" w:hAnsi="Bookman Old Style" w:cs="Times New Roman"/>
          <w:sz w:val="24"/>
          <w:szCs w:val="24"/>
        </w:rPr>
        <w:t xml:space="preserve">ότι </w:t>
      </w:r>
      <w:r w:rsidR="00C436D4" w:rsidRPr="00690309">
        <w:rPr>
          <w:rFonts w:ascii="Bookman Old Style" w:eastAsia="Times New Roman" w:hAnsi="Bookman Old Style" w:cs="Times New Roman"/>
          <w:sz w:val="24"/>
          <w:szCs w:val="24"/>
        </w:rPr>
        <w:t>η ταχεία</w:t>
      </w:r>
      <w:r w:rsidR="001C494F">
        <w:rPr>
          <w:rFonts w:ascii="Bookman Old Style" w:eastAsia="Times New Roman" w:hAnsi="Bookman Old Style" w:cs="Times New Roman"/>
          <w:sz w:val="24"/>
          <w:szCs w:val="24"/>
        </w:rPr>
        <w:t xml:space="preserve"> και φθηνή</w:t>
      </w:r>
      <w:r w:rsidR="00C436D4" w:rsidRPr="00690309">
        <w:rPr>
          <w:rFonts w:ascii="Bookman Old Style" w:eastAsia="Times New Roman" w:hAnsi="Bookman Old Style" w:cs="Times New Roman"/>
          <w:sz w:val="24"/>
          <w:szCs w:val="24"/>
        </w:rPr>
        <w:t xml:space="preserve"> εκκαθάριση των</w:t>
      </w:r>
      <w:r w:rsidR="00307AF9" w:rsidRPr="00690309">
        <w:rPr>
          <w:rFonts w:ascii="Bookman Old Style" w:eastAsia="Times New Roman" w:hAnsi="Bookman Old Style" w:cs="Times New Roman"/>
          <w:sz w:val="24"/>
          <w:szCs w:val="24"/>
        </w:rPr>
        <w:t xml:space="preserve"> ήσσσονος αξίας </w:t>
      </w:r>
      <w:r w:rsidR="00C436D4" w:rsidRPr="00690309">
        <w:rPr>
          <w:rFonts w:ascii="Bookman Old Style" w:eastAsia="Times New Roman" w:hAnsi="Bookman Old Style" w:cs="Times New Roman"/>
          <w:sz w:val="24"/>
          <w:szCs w:val="24"/>
        </w:rPr>
        <w:t>απαιτήσεων</w:t>
      </w:r>
      <w:r w:rsidR="00307AF9" w:rsidRPr="00690309">
        <w:rPr>
          <w:rFonts w:ascii="Bookman Old Style" w:eastAsia="Times New Roman" w:hAnsi="Bookman Old Style" w:cs="Times New Roman"/>
          <w:sz w:val="24"/>
          <w:szCs w:val="24"/>
        </w:rPr>
        <w:t xml:space="preserve"> έως συγκεκριμένο ποσό</w:t>
      </w:r>
      <w:r w:rsidR="00307AF9" w:rsidRPr="00690309">
        <w:rPr>
          <w:rStyle w:val="FootnoteReference"/>
          <w:rFonts w:ascii="Bookman Old Style" w:eastAsia="Times New Roman" w:hAnsi="Bookman Old Style" w:cs="Times New Roman"/>
          <w:sz w:val="24"/>
          <w:szCs w:val="24"/>
        </w:rPr>
        <w:footnoteReference w:id="191"/>
      </w:r>
      <w:r w:rsidR="001C494F">
        <w:rPr>
          <w:rFonts w:ascii="Bookman Old Style" w:eastAsia="Times New Roman" w:hAnsi="Bookman Old Style" w:cs="Times New Roman"/>
          <w:sz w:val="24"/>
          <w:szCs w:val="24"/>
        </w:rPr>
        <w:t>,</w:t>
      </w:r>
      <w:r w:rsidR="00307AF9" w:rsidRPr="00690309">
        <w:rPr>
          <w:rFonts w:ascii="Bookman Old Style" w:eastAsia="Times New Roman" w:hAnsi="Bookman Old Style" w:cs="Times New Roman"/>
          <w:sz w:val="24"/>
          <w:szCs w:val="24"/>
        </w:rPr>
        <w:t xml:space="preserve"> </w:t>
      </w:r>
      <w:r w:rsidR="001C494F" w:rsidRPr="00690309">
        <w:rPr>
          <w:rFonts w:ascii="Bookman Old Style" w:eastAsia="Times New Roman" w:hAnsi="Bookman Old Style" w:cs="Times New Roman"/>
          <w:sz w:val="24"/>
          <w:szCs w:val="24"/>
        </w:rPr>
        <w:t>παράλληλα με τη δυνατότητα εναλλακτικής επίλυσης τ</w:t>
      </w:r>
      <w:r w:rsidR="001C494F">
        <w:rPr>
          <w:rFonts w:ascii="Bookman Old Style" w:eastAsia="Times New Roman" w:hAnsi="Bookman Old Style" w:cs="Times New Roman"/>
          <w:sz w:val="24"/>
          <w:szCs w:val="24"/>
        </w:rPr>
        <w:t>ων</w:t>
      </w:r>
      <w:r w:rsidR="001C494F" w:rsidRPr="00690309">
        <w:rPr>
          <w:rFonts w:ascii="Bookman Old Style" w:eastAsia="Times New Roman" w:hAnsi="Bookman Old Style" w:cs="Times New Roman"/>
          <w:sz w:val="24"/>
          <w:szCs w:val="24"/>
        </w:rPr>
        <w:t xml:space="preserve"> διαφορ</w:t>
      </w:r>
      <w:r w:rsidR="001C494F">
        <w:rPr>
          <w:rFonts w:ascii="Bookman Old Style" w:eastAsia="Times New Roman" w:hAnsi="Bookman Old Style" w:cs="Times New Roman"/>
          <w:sz w:val="24"/>
          <w:szCs w:val="24"/>
        </w:rPr>
        <w:t>ών</w:t>
      </w:r>
      <w:r w:rsidR="001C494F" w:rsidRPr="00690309">
        <w:rPr>
          <w:rFonts w:ascii="Bookman Old Style" w:eastAsia="Times New Roman" w:hAnsi="Bookman Old Style" w:cs="Times New Roman"/>
          <w:sz w:val="24"/>
          <w:szCs w:val="24"/>
        </w:rPr>
        <w:t xml:space="preserve">, </w:t>
      </w:r>
      <w:r w:rsidR="00307AF9" w:rsidRPr="00690309">
        <w:rPr>
          <w:rFonts w:ascii="Bookman Old Style" w:eastAsia="Times New Roman" w:hAnsi="Bookman Old Style" w:cs="Times New Roman"/>
          <w:sz w:val="24"/>
          <w:szCs w:val="24"/>
        </w:rPr>
        <w:t>ε</w:t>
      </w:r>
      <w:r w:rsidR="00C436D4" w:rsidRPr="00690309">
        <w:rPr>
          <w:rFonts w:ascii="Bookman Old Style" w:eastAsia="Times New Roman" w:hAnsi="Bookman Old Style" w:cs="Times New Roman"/>
          <w:sz w:val="24"/>
          <w:szCs w:val="24"/>
        </w:rPr>
        <w:t>πιτυγχάνεται</w:t>
      </w:r>
      <w:r w:rsidR="001C494F">
        <w:rPr>
          <w:rFonts w:ascii="Bookman Old Style" w:eastAsia="Times New Roman" w:hAnsi="Bookman Old Style" w:cs="Times New Roman"/>
          <w:sz w:val="24"/>
          <w:szCs w:val="24"/>
        </w:rPr>
        <w:t xml:space="preserve"> </w:t>
      </w:r>
      <w:r w:rsidR="00241B8F">
        <w:rPr>
          <w:rFonts w:ascii="Bookman Old Style" w:eastAsia="Times New Roman" w:hAnsi="Bookman Old Style" w:cs="Times New Roman"/>
          <w:sz w:val="24"/>
          <w:szCs w:val="24"/>
        </w:rPr>
        <w:t xml:space="preserve">στα περισσότερα κράτη της Ένωσης </w:t>
      </w:r>
      <w:r w:rsidR="001C494F">
        <w:rPr>
          <w:rFonts w:ascii="Bookman Old Style" w:eastAsia="Times New Roman" w:hAnsi="Bookman Old Style" w:cs="Times New Roman"/>
          <w:sz w:val="24"/>
          <w:szCs w:val="24"/>
        </w:rPr>
        <w:t>με απλουστευμένες διαδικασίες σε σχέση με τη συνήθη διαδικασία</w:t>
      </w:r>
      <w:r w:rsidR="00241B8F">
        <w:rPr>
          <w:rFonts w:ascii="Bookman Old Style" w:eastAsia="Times New Roman" w:hAnsi="Bookman Old Style" w:cs="Times New Roman"/>
          <w:sz w:val="24"/>
          <w:szCs w:val="24"/>
        </w:rPr>
        <w:t xml:space="preserve"> τους, είτε με ειδική διαδικασία μικροδιαφορών που τέμνει, όμως, εγκάρσια το σύνολο της </w:t>
      </w:r>
      <w:r w:rsidR="0054356C">
        <w:rPr>
          <w:rFonts w:ascii="Bookman Old Style" w:eastAsia="Times New Roman" w:hAnsi="Bookman Old Style" w:cs="Times New Roman"/>
          <w:sz w:val="24"/>
          <w:szCs w:val="24"/>
        </w:rPr>
        <w:t>αμφισβητούμενης δικαιοδοσίας</w:t>
      </w:r>
      <w:r w:rsidR="001C494F">
        <w:rPr>
          <w:rFonts w:ascii="Bookman Old Style" w:eastAsia="Times New Roman" w:hAnsi="Bookman Old Style" w:cs="Times New Roman"/>
          <w:sz w:val="24"/>
          <w:szCs w:val="24"/>
        </w:rPr>
        <w:t xml:space="preserve"> </w:t>
      </w:r>
      <w:r w:rsidR="00291047">
        <w:rPr>
          <w:rFonts w:ascii="Bookman Old Style" w:eastAsia="Times New Roman" w:hAnsi="Bookman Old Style" w:cs="Times New Roman"/>
          <w:sz w:val="24"/>
          <w:szCs w:val="24"/>
        </w:rPr>
        <w:t>ή</w:t>
      </w:r>
      <w:r w:rsidR="00FF1819" w:rsidRPr="00FF1819">
        <w:rPr>
          <w:rFonts w:ascii="Bookman Old Style" w:eastAsia="Times New Roman" w:hAnsi="Bookman Old Style" w:cs="Times New Roman"/>
          <w:sz w:val="24"/>
          <w:szCs w:val="24"/>
        </w:rPr>
        <w:t xml:space="preserve">, </w:t>
      </w:r>
      <w:r w:rsidR="00FF1819">
        <w:rPr>
          <w:rFonts w:ascii="Bookman Old Style" w:eastAsia="Times New Roman" w:hAnsi="Bookman Old Style" w:cs="Times New Roman"/>
          <w:sz w:val="24"/>
          <w:szCs w:val="24"/>
        </w:rPr>
        <w:t>μεμονωμένα,</w:t>
      </w:r>
      <w:r w:rsidR="00241B8F">
        <w:rPr>
          <w:rFonts w:ascii="Bookman Old Style" w:eastAsia="Times New Roman" w:hAnsi="Bookman Old Style" w:cs="Times New Roman"/>
          <w:sz w:val="24"/>
          <w:szCs w:val="24"/>
        </w:rPr>
        <w:t xml:space="preserve"> συγκεκριμένης φύσης διαφορές</w:t>
      </w:r>
      <w:r w:rsidR="00241B8F">
        <w:rPr>
          <w:rStyle w:val="FootnoteReference"/>
          <w:rFonts w:ascii="Bookman Old Style" w:eastAsia="Times New Roman" w:hAnsi="Bookman Old Style" w:cs="Times New Roman"/>
          <w:sz w:val="24"/>
          <w:szCs w:val="24"/>
        </w:rPr>
        <w:footnoteReference w:id="192"/>
      </w:r>
      <w:r w:rsidR="00241B8F">
        <w:rPr>
          <w:rFonts w:ascii="Bookman Old Style" w:eastAsia="Times New Roman" w:hAnsi="Bookman Old Style" w:cs="Times New Roman"/>
          <w:sz w:val="24"/>
          <w:szCs w:val="24"/>
        </w:rPr>
        <w:t>, στα, δε,</w:t>
      </w:r>
      <w:r w:rsidR="00C436D4" w:rsidRPr="00690309">
        <w:rPr>
          <w:rFonts w:ascii="Bookman Old Style" w:eastAsia="Times New Roman" w:hAnsi="Bookman Old Style" w:cs="Times New Roman"/>
          <w:sz w:val="24"/>
          <w:szCs w:val="24"/>
        </w:rPr>
        <w:t xml:space="preserve"> εναπομ</w:t>
      </w:r>
      <w:r w:rsidR="006574F0">
        <w:rPr>
          <w:rFonts w:ascii="Bookman Old Style" w:eastAsia="Times New Roman" w:hAnsi="Bookman Old Style" w:cs="Times New Roman"/>
          <w:sz w:val="24"/>
          <w:szCs w:val="24"/>
        </w:rPr>
        <w:t>εί</w:t>
      </w:r>
      <w:r w:rsidR="00C436D4" w:rsidRPr="00690309">
        <w:rPr>
          <w:rFonts w:ascii="Bookman Old Style" w:eastAsia="Times New Roman" w:hAnsi="Bookman Old Style" w:cs="Times New Roman"/>
          <w:sz w:val="24"/>
          <w:szCs w:val="24"/>
        </w:rPr>
        <w:t xml:space="preserve">ναντα </w:t>
      </w:r>
      <w:r w:rsidR="007A6D6A">
        <w:rPr>
          <w:rFonts w:ascii="Bookman Old Style" w:eastAsia="Times New Roman" w:hAnsi="Bookman Old Style" w:cs="Times New Roman"/>
          <w:sz w:val="24"/>
          <w:szCs w:val="24"/>
        </w:rPr>
        <w:t xml:space="preserve">κράτη </w:t>
      </w:r>
      <w:r w:rsidR="00392E17" w:rsidRPr="00690309">
        <w:rPr>
          <w:rFonts w:ascii="Bookman Old Style" w:eastAsia="Times New Roman" w:hAnsi="Bookman Old Style" w:cs="Times New Roman"/>
          <w:sz w:val="24"/>
          <w:szCs w:val="24"/>
        </w:rPr>
        <w:t xml:space="preserve">που δεν ισχύουν </w:t>
      </w:r>
      <w:r w:rsidR="00483CD0">
        <w:rPr>
          <w:rFonts w:ascii="Bookman Old Style" w:eastAsia="Times New Roman" w:hAnsi="Bookman Old Style" w:cs="Times New Roman"/>
          <w:sz w:val="24"/>
          <w:szCs w:val="24"/>
        </w:rPr>
        <w:t>καθοιονδήποτε τρόπο μικρο</w:t>
      </w:r>
      <w:r w:rsidR="00392E17" w:rsidRPr="00690309">
        <w:rPr>
          <w:rFonts w:ascii="Bookman Old Style" w:eastAsia="Times New Roman" w:hAnsi="Bookman Old Style" w:cs="Times New Roman"/>
          <w:sz w:val="24"/>
          <w:szCs w:val="24"/>
        </w:rPr>
        <w:t>διαφορές</w:t>
      </w:r>
      <w:r w:rsidR="00036FC2" w:rsidRPr="00690309">
        <w:rPr>
          <w:rStyle w:val="FootnoteReference"/>
          <w:rFonts w:ascii="Bookman Old Style" w:eastAsia="Times New Roman" w:hAnsi="Bookman Old Style" w:cs="Times New Roman"/>
          <w:sz w:val="24"/>
          <w:szCs w:val="24"/>
        </w:rPr>
        <w:footnoteReference w:id="193"/>
      </w:r>
      <w:r w:rsidR="00392E17" w:rsidRPr="00690309">
        <w:rPr>
          <w:rFonts w:ascii="Bookman Old Style" w:eastAsia="Times New Roman" w:hAnsi="Bookman Old Style" w:cs="Times New Roman"/>
          <w:sz w:val="24"/>
          <w:szCs w:val="24"/>
        </w:rPr>
        <w:t xml:space="preserve">, </w:t>
      </w:r>
      <w:r w:rsidR="00483CD0">
        <w:rPr>
          <w:rFonts w:ascii="Bookman Old Style" w:eastAsia="Times New Roman" w:hAnsi="Bookman Old Style" w:cs="Times New Roman"/>
          <w:sz w:val="24"/>
          <w:szCs w:val="24"/>
        </w:rPr>
        <w:t>η επίσπευσή τους επιτυγχάνεται</w:t>
      </w:r>
      <w:r w:rsidR="00392E17" w:rsidRPr="00690309">
        <w:rPr>
          <w:rFonts w:ascii="Bookman Old Style" w:eastAsia="Times New Roman" w:hAnsi="Bookman Old Style" w:cs="Times New Roman"/>
          <w:sz w:val="24"/>
          <w:szCs w:val="24"/>
        </w:rPr>
        <w:t xml:space="preserve"> </w:t>
      </w:r>
      <w:r w:rsidR="003619C0" w:rsidRPr="00690309">
        <w:rPr>
          <w:rFonts w:ascii="Bookman Old Style" w:eastAsia="Times New Roman" w:hAnsi="Bookman Old Style" w:cs="Times New Roman"/>
          <w:sz w:val="24"/>
          <w:szCs w:val="24"/>
        </w:rPr>
        <w:t>με</w:t>
      </w:r>
      <w:r w:rsidR="004E481B" w:rsidRPr="00690309">
        <w:rPr>
          <w:rFonts w:ascii="Bookman Old Style" w:eastAsia="Times New Roman" w:hAnsi="Bookman Old Style" w:cs="Times New Roman"/>
          <w:sz w:val="24"/>
          <w:szCs w:val="24"/>
        </w:rPr>
        <w:t xml:space="preserve"> ταχεία</w:t>
      </w:r>
      <w:r w:rsidR="00C436D4" w:rsidRPr="00690309">
        <w:rPr>
          <w:rFonts w:ascii="Bookman Old Style" w:eastAsia="Times New Roman" w:hAnsi="Bookman Old Style" w:cs="Times New Roman"/>
          <w:sz w:val="24"/>
          <w:szCs w:val="24"/>
        </w:rPr>
        <w:t>,</w:t>
      </w:r>
      <w:r w:rsidR="004E481B" w:rsidRPr="00690309">
        <w:rPr>
          <w:rFonts w:ascii="Bookman Old Style" w:eastAsia="Times New Roman" w:hAnsi="Bookman Old Style" w:cs="Times New Roman"/>
          <w:sz w:val="24"/>
          <w:szCs w:val="24"/>
        </w:rPr>
        <w:t xml:space="preserve"> απλουστευμένη και φθηνή διαδικασία χορήγησης εκτελεστού τίτλου</w:t>
      </w:r>
      <w:r w:rsidR="00036FC2" w:rsidRPr="00690309">
        <w:rPr>
          <w:rStyle w:val="FootnoteReference"/>
          <w:rFonts w:ascii="Bookman Old Style" w:eastAsia="Times New Roman" w:hAnsi="Bookman Old Style" w:cs="Times New Roman"/>
          <w:sz w:val="24"/>
          <w:szCs w:val="24"/>
        </w:rPr>
        <w:footnoteReference w:id="194"/>
      </w:r>
      <w:r w:rsidR="00291047" w:rsidRPr="00291047">
        <w:rPr>
          <w:rFonts w:ascii="Bookman Old Style" w:eastAsia="Times New Roman" w:hAnsi="Bookman Old Style" w:cs="Times New Roman"/>
          <w:sz w:val="24"/>
          <w:szCs w:val="24"/>
        </w:rPr>
        <w:t xml:space="preserve">, </w:t>
      </w:r>
      <w:r w:rsidR="00291047">
        <w:rPr>
          <w:rFonts w:ascii="Bookman Old Style" w:eastAsia="Times New Roman" w:hAnsi="Bookman Old Style" w:cs="Times New Roman"/>
          <w:sz w:val="24"/>
          <w:szCs w:val="24"/>
        </w:rPr>
        <w:t>διαμέσου του θεσμού της «διαταγής πληρωμής»</w:t>
      </w:r>
      <w:r w:rsidR="004E481B" w:rsidRPr="00690309">
        <w:rPr>
          <w:rFonts w:ascii="Bookman Old Style" w:eastAsia="Times New Roman" w:hAnsi="Bookman Old Style" w:cs="Times New Roman"/>
          <w:sz w:val="24"/>
          <w:szCs w:val="24"/>
        </w:rPr>
        <w:t>. Η</w:t>
      </w:r>
      <w:r w:rsidRPr="00690309">
        <w:rPr>
          <w:rFonts w:ascii="Bookman Old Style" w:eastAsia="Times New Roman" w:hAnsi="Bookman Old Style" w:cs="Times New Roman"/>
          <w:sz w:val="24"/>
          <w:szCs w:val="24"/>
        </w:rPr>
        <w:t xml:space="preserve"> </w:t>
      </w:r>
      <w:r w:rsidR="003619C0" w:rsidRPr="00690309">
        <w:rPr>
          <w:rFonts w:ascii="Bookman Old Style" w:eastAsia="Times New Roman" w:hAnsi="Bookman Old Style" w:cs="Times New Roman"/>
          <w:sz w:val="24"/>
          <w:szCs w:val="24"/>
        </w:rPr>
        <w:t xml:space="preserve">δυνατότητα </w:t>
      </w:r>
      <w:r w:rsidRPr="00690309">
        <w:rPr>
          <w:rFonts w:ascii="Bookman Old Style" w:eastAsia="Times New Roman" w:hAnsi="Bookman Old Style" w:cs="Times New Roman"/>
          <w:sz w:val="24"/>
          <w:szCs w:val="24"/>
        </w:rPr>
        <w:t>αυτοπρόσωπη</w:t>
      </w:r>
      <w:r w:rsidR="003619C0" w:rsidRPr="00690309">
        <w:rPr>
          <w:rFonts w:ascii="Bookman Old Style" w:eastAsia="Times New Roman" w:hAnsi="Bookman Old Style" w:cs="Times New Roman"/>
          <w:sz w:val="24"/>
          <w:szCs w:val="24"/>
        </w:rPr>
        <w:t>ς</w:t>
      </w:r>
      <w:r w:rsidRPr="00690309">
        <w:rPr>
          <w:rFonts w:ascii="Bookman Old Style" w:eastAsia="Times New Roman" w:hAnsi="Bookman Old Style" w:cs="Times New Roman"/>
          <w:sz w:val="24"/>
          <w:szCs w:val="24"/>
        </w:rPr>
        <w:t xml:space="preserve"> επιχείρηση</w:t>
      </w:r>
      <w:r w:rsidR="003619C0" w:rsidRPr="00690309">
        <w:rPr>
          <w:rFonts w:ascii="Bookman Old Style" w:eastAsia="Times New Roman" w:hAnsi="Bookman Old Style" w:cs="Times New Roman"/>
          <w:sz w:val="24"/>
          <w:szCs w:val="24"/>
        </w:rPr>
        <w:t>ς</w:t>
      </w:r>
      <w:r w:rsidRPr="00690309">
        <w:rPr>
          <w:rFonts w:ascii="Bookman Old Style" w:eastAsia="Times New Roman" w:hAnsi="Bookman Old Style" w:cs="Times New Roman"/>
          <w:sz w:val="24"/>
          <w:szCs w:val="24"/>
        </w:rPr>
        <w:t xml:space="preserve"> των διαδικαστικών πράξεων</w:t>
      </w:r>
      <w:r w:rsidR="00CC060F" w:rsidRPr="00690309">
        <w:rPr>
          <w:rFonts w:ascii="Bookman Old Style" w:eastAsia="Times New Roman" w:hAnsi="Bookman Old Style" w:cs="Times New Roman"/>
          <w:sz w:val="24"/>
          <w:szCs w:val="24"/>
        </w:rPr>
        <w:t xml:space="preserve"> και η χαλάρωση της </w:t>
      </w:r>
      <w:r w:rsidR="003619C0" w:rsidRPr="00690309">
        <w:rPr>
          <w:rFonts w:ascii="Bookman Old Style" w:eastAsia="Times New Roman" w:hAnsi="Bookman Old Style" w:cs="Times New Roman"/>
          <w:sz w:val="24"/>
          <w:szCs w:val="24"/>
        </w:rPr>
        <w:t xml:space="preserve">αποδεικτικής διαδικασίας </w:t>
      </w:r>
      <w:r w:rsidRPr="00690309">
        <w:rPr>
          <w:rFonts w:ascii="Bookman Old Style" w:eastAsia="Times New Roman" w:hAnsi="Bookman Old Style" w:cs="Times New Roman"/>
          <w:sz w:val="24"/>
          <w:szCs w:val="24"/>
        </w:rPr>
        <w:t>είναι κανόνας</w:t>
      </w:r>
      <w:r w:rsidRPr="00690309">
        <w:rPr>
          <w:rStyle w:val="FootnoteReference"/>
          <w:rFonts w:ascii="Bookman Old Style" w:eastAsia="Times New Roman" w:hAnsi="Bookman Old Style" w:cs="Times New Roman"/>
          <w:sz w:val="24"/>
          <w:szCs w:val="24"/>
        </w:rPr>
        <w:footnoteReference w:id="195"/>
      </w:r>
      <w:r w:rsidR="003619C0" w:rsidRPr="00690309">
        <w:rPr>
          <w:rFonts w:ascii="Bookman Old Style" w:eastAsia="Times New Roman" w:hAnsi="Bookman Old Style" w:cs="Times New Roman"/>
          <w:sz w:val="24"/>
          <w:szCs w:val="24"/>
        </w:rPr>
        <w:t>, ενώ,</w:t>
      </w:r>
      <w:r w:rsidRPr="00690309">
        <w:rPr>
          <w:rFonts w:ascii="Bookman Old Style" w:eastAsia="Times New Roman" w:hAnsi="Bookman Old Style" w:cs="Times New Roman"/>
          <w:sz w:val="24"/>
          <w:szCs w:val="24"/>
        </w:rPr>
        <w:t xml:space="preserve"> η χρήση </w:t>
      </w:r>
      <w:r w:rsidRPr="00690309">
        <w:rPr>
          <w:rFonts w:ascii="Bookman Old Style" w:eastAsia="Times New Roman" w:hAnsi="Bookman Old Style" w:cs="Times New Roman"/>
          <w:sz w:val="24"/>
          <w:szCs w:val="24"/>
        </w:rPr>
        <w:lastRenderedPageBreak/>
        <w:t xml:space="preserve">προδιατυπωμένων </w:t>
      </w:r>
      <w:r w:rsidR="004E481B" w:rsidRPr="00690309">
        <w:rPr>
          <w:rFonts w:ascii="Bookman Old Style" w:eastAsia="Times New Roman" w:hAnsi="Bookman Old Style" w:cs="Times New Roman"/>
          <w:sz w:val="24"/>
          <w:szCs w:val="24"/>
        </w:rPr>
        <w:t>εγγράφων</w:t>
      </w:r>
      <w:r w:rsidRPr="00690309">
        <w:rPr>
          <w:rFonts w:ascii="Bookman Old Style" w:eastAsia="Times New Roman" w:hAnsi="Bookman Old Style" w:cs="Times New Roman"/>
          <w:sz w:val="24"/>
          <w:szCs w:val="24"/>
        </w:rPr>
        <w:t>, σχεδόν, καθολική</w:t>
      </w:r>
      <w:r w:rsidRPr="00690309">
        <w:rPr>
          <w:rStyle w:val="FootnoteReference"/>
          <w:rFonts w:ascii="Bookman Old Style" w:eastAsia="Times New Roman" w:hAnsi="Bookman Old Style" w:cs="Times New Roman"/>
          <w:sz w:val="24"/>
          <w:szCs w:val="24"/>
        </w:rPr>
        <w:footnoteReference w:id="196"/>
      </w:r>
      <w:r w:rsidR="00392E17" w:rsidRPr="00690309">
        <w:rPr>
          <w:rFonts w:ascii="Bookman Old Style" w:eastAsia="Times New Roman" w:hAnsi="Bookman Old Style" w:cs="Times New Roman"/>
          <w:sz w:val="24"/>
          <w:szCs w:val="24"/>
        </w:rPr>
        <w:t xml:space="preserve">. </w:t>
      </w:r>
      <w:r w:rsidR="00483CD0">
        <w:rPr>
          <w:rFonts w:ascii="Bookman Old Style" w:eastAsia="Times New Roman" w:hAnsi="Bookman Old Style" w:cs="Times New Roman"/>
          <w:sz w:val="24"/>
          <w:szCs w:val="24"/>
        </w:rPr>
        <w:t>Α</w:t>
      </w:r>
      <w:r w:rsidR="008952C1" w:rsidRPr="00690309">
        <w:rPr>
          <w:rFonts w:ascii="Bookman Old Style" w:eastAsia="Times New Roman" w:hAnsi="Bookman Old Style" w:cs="Times New Roman"/>
          <w:sz w:val="24"/>
          <w:szCs w:val="24"/>
        </w:rPr>
        <w:t>ποκλειστικά</w:t>
      </w:r>
      <w:r w:rsidRPr="00690309">
        <w:rPr>
          <w:rFonts w:ascii="Bookman Old Style" w:eastAsia="Times New Roman" w:hAnsi="Bookman Old Style" w:cs="Times New Roman"/>
          <w:sz w:val="24"/>
          <w:szCs w:val="24"/>
        </w:rPr>
        <w:t xml:space="preserve"> έγγραφη διεξαγωγή</w:t>
      </w:r>
      <w:r w:rsidR="006527D0" w:rsidRPr="00690309">
        <w:rPr>
          <w:rFonts w:ascii="Bookman Old Style" w:eastAsia="Times New Roman" w:hAnsi="Bookman Old Style" w:cs="Times New Roman"/>
          <w:sz w:val="24"/>
          <w:szCs w:val="24"/>
        </w:rPr>
        <w:t xml:space="preserve"> </w:t>
      </w:r>
      <w:r w:rsidR="008952C1" w:rsidRPr="00690309">
        <w:rPr>
          <w:rFonts w:ascii="Bookman Old Style" w:eastAsia="Times New Roman" w:hAnsi="Bookman Old Style" w:cs="Times New Roman"/>
          <w:sz w:val="24"/>
          <w:szCs w:val="24"/>
        </w:rPr>
        <w:t>συναντάται, ιδίως,</w:t>
      </w:r>
      <w:r w:rsidRPr="00690309">
        <w:rPr>
          <w:rFonts w:ascii="Bookman Old Style" w:eastAsia="Times New Roman" w:hAnsi="Bookman Old Style" w:cs="Times New Roman"/>
          <w:sz w:val="24"/>
          <w:szCs w:val="24"/>
        </w:rPr>
        <w:t xml:space="preserve"> στα ανατολικά κράτη</w:t>
      </w:r>
      <w:r w:rsidR="00BA2E1E" w:rsidRPr="00690309">
        <w:rPr>
          <w:rFonts w:ascii="Bookman Old Style" w:eastAsia="Times New Roman" w:hAnsi="Bookman Old Style" w:cs="Times New Roman"/>
          <w:sz w:val="24"/>
          <w:szCs w:val="24"/>
        </w:rPr>
        <w:t xml:space="preserve"> και σε χώρες της Βαλκανικής</w:t>
      </w:r>
      <w:r w:rsidR="00881F59" w:rsidRPr="00690309">
        <w:rPr>
          <w:rStyle w:val="FootnoteReference"/>
          <w:rFonts w:ascii="Bookman Old Style" w:eastAsia="Times New Roman" w:hAnsi="Bookman Old Style" w:cs="Times New Roman"/>
          <w:sz w:val="24"/>
          <w:szCs w:val="24"/>
        </w:rPr>
        <w:footnoteReference w:id="197"/>
      </w:r>
      <w:r w:rsidRPr="00690309">
        <w:rPr>
          <w:rFonts w:ascii="Bookman Old Style" w:eastAsia="Times New Roman" w:hAnsi="Bookman Old Style" w:cs="Times New Roman"/>
          <w:sz w:val="24"/>
          <w:szCs w:val="24"/>
        </w:rPr>
        <w:t xml:space="preserve">, </w:t>
      </w:r>
      <w:r w:rsidR="008952C1" w:rsidRPr="00690309">
        <w:rPr>
          <w:rFonts w:ascii="Bookman Old Style" w:eastAsia="Times New Roman" w:hAnsi="Bookman Old Style" w:cs="Times New Roman"/>
          <w:sz w:val="24"/>
          <w:szCs w:val="24"/>
        </w:rPr>
        <w:t xml:space="preserve">η οποία και προτάσσεται, έναντι της προφορικής, εφόσον δεν απαιτείται τέτοια, ούτε έχει ζητηθεί από τους διαδίκους, </w:t>
      </w:r>
      <w:r w:rsidR="006527D0" w:rsidRPr="00690309">
        <w:rPr>
          <w:rFonts w:ascii="Bookman Old Style" w:eastAsia="Times New Roman" w:hAnsi="Bookman Old Style" w:cs="Times New Roman"/>
          <w:sz w:val="24"/>
          <w:szCs w:val="24"/>
        </w:rPr>
        <w:t>στον Βορρά</w:t>
      </w:r>
      <w:r w:rsidR="00881F59" w:rsidRPr="00690309">
        <w:rPr>
          <w:rStyle w:val="FootnoteReference"/>
          <w:rFonts w:ascii="Bookman Old Style" w:eastAsia="Times New Roman" w:hAnsi="Bookman Old Style" w:cs="Times New Roman"/>
          <w:sz w:val="24"/>
          <w:szCs w:val="24"/>
        </w:rPr>
        <w:footnoteReference w:id="198"/>
      </w:r>
      <w:r w:rsidR="00D3642E" w:rsidRPr="00690309">
        <w:rPr>
          <w:rFonts w:ascii="Bookman Old Style" w:eastAsia="Times New Roman" w:hAnsi="Bookman Old Style" w:cs="Times New Roman"/>
          <w:sz w:val="24"/>
          <w:szCs w:val="24"/>
        </w:rPr>
        <w:t>, ενώ,</w:t>
      </w:r>
      <w:r w:rsidR="003619C0" w:rsidRPr="00690309">
        <w:rPr>
          <w:rFonts w:ascii="Bookman Old Style" w:eastAsia="Times New Roman" w:hAnsi="Bookman Old Style" w:cs="Times New Roman"/>
          <w:sz w:val="24"/>
          <w:szCs w:val="24"/>
        </w:rPr>
        <w:t xml:space="preserve"> </w:t>
      </w:r>
      <w:r w:rsidR="00D3642E" w:rsidRPr="00690309">
        <w:rPr>
          <w:rFonts w:ascii="Bookman Old Style" w:eastAsia="Times New Roman" w:hAnsi="Bookman Old Style" w:cs="Times New Roman"/>
          <w:sz w:val="24"/>
          <w:szCs w:val="24"/>
        </w:rPr>
        <w:t>α</w:t>
      </w:r>
      <w:r w:rsidRPr="00690309">
        <w:rPr>
          <w:rFonts w:ascii="Bookman Old Style" w:eastAsia="Times New Roman" w:hAnsi="Bookman Old Style" w:cs="Times New Roman"/>
          <w:sz w:val="24"/>
          <w:szCs w:val="24"/>
        </w:rPr>
        <w:t xml:space="preserve">μιγώς προφορική διεξαγωγή </w:t>
      </w:r>
      <w:r w:rsidR="003619C0" w:rsidRPr="00690309">
        <w:rPr>
          <w:rFonts w:ascii="Bookman Old Style" w:eastAsia="Times New Roman" w:hAnsi="Bookman Old Style" w:cs="Times New Roman"/>
          <w:sz w:val="24"/>
          <w:szCs w:val="24"/>
        </w:rPr>
        <w:t xml:space="preserve">ως πρότυπο Δίκης </w:t>
      </w:r>
      <w:r w:rsidR="00CC060F" w:rsidRPr="00690309">
        <w:rPr>
          <w:rFonts w:ascii="Bookman Old Style" w:eastAsia="Times New Roman" w:hAnsi="Bookman Old Style" w:cs="Times New Roman"/>
          <w:sz w:val="24"/>
          <w:szCs w:val="24"/>
        </w:rPr>
        <w:t>ισχύει</w:t>
      </w:r>
      <w:r w:rsidR="003619C0" w:rsidRPr="00690309">
        <w:rPr>
          <w:rFonts w:ascii="Bookman Old Style" w:eastAsia="Times New Roman" w:hAnsi="Bookman Old Style" w:cs="Times New Roman"/>
          <w:sz w:val="24"/>
          <w:szCs w:val="24"/>
        </w:rPr>
        <w:t>, κυρίως,</w:t>
      </w:r>
      <w:r w:rsidR="006527D0" w:rsidRPr="00690309">
        <w:rPr>
          <w:rFonts w:ascii="Bookman Old Style" w:eastAsia="Times New Roman" w:hAnsi="Bookman Old Style" w:cs="Times New Roman"/>
          <w:sz w:val="24"/>
          <w:szCs w:val="24"/>
        </w:rPr>
        <w:t xml:space="preserve"> στις Νότιες Χώρες</w:t>
      </w:r>
      <w:r w:rsidR="00881F59" w:rsidRPr="00690309">
        <w:rPr>
          <w:rStyle w:val="FootnoteReference"/>
          <w:rFonts w:ascii="Bookman Old Style" w:eastAsia="Times New Roman" w:hAnsi="Bookman Old Style" w:cs="Times New Roman"/>
          <w:sz w:val="24"/>
          <w:szCs w:val="24"/>
        </w:rPr>
        <w:footnoteReference w:id="199"/>
      </w:r>
      <w:r w:rsidR="006527D0" w:rsidRPr="00690309">
        <w:rPr>
          <w:rFonts w:ascii="Bookman Old Style" w:eastAsia="Times New Roman" w:hAnsi="Bookman Old Style" w:cs="Times New Roman"/>
          <w:sz w:val="24"/>
          <w:szCs w:val="24"/>
        </w:rPr>
        <w:t xml:space="preserve">, στις </w:t>
      </w:r>
      <w:r w:rsidR="00B86D1A" w:rsidRPr="00690309">
        <w:rPr>
          <w:rFonts w:ascii="Bookman Old Style" w:eastAsia="Times New Roman" w:hAnsi="Bookman Old Style" w:cs="Times New Roman"/>
          <w:sz w:val="24"/>
          <w:szCs w:val="24"/>
        </w:rPr>
        <w:t>οποίες</w:t>
      </w:r>
      <w:r w:rsidR="00231A97" w:rsidRPr="00690309">
        <w:rPr>
          <w:rFonts w:ascii="Bookman Old Style" w:eastAsia="Times New Roman" w:hAnsi="Bookman Old Style" w:cs="Times New Roman"/>
          <w:sz w:val="24"/>
          <w:szCs w:val="24"/>
        </w:rPr>
        <w:t xml:space="preserve"> </w:t>
      </w:r>
      <w:r w:rsidR="006527D0" w:rsidRPr="00690309">
        <w:rPr>
          <w:rFonts w:ascii="Bookman Old Style" w:eastAsia="Times New Roman" w:hAnsi="Bookman Old Style" w:cs="Times New Roman"/>
          <w:sz w:val="24"/>
          <w:szCs w:val="24"/>
        </w:rPr>
        <w:t>είτε δεν υφίσταται η δυνατότητα αναβολή</w:t>
      </w:r>
      <w:r w:rsidR="00036FC2" w:rsidRPr="00690309">
        <w:rPr>
          <w:rFonts w:ascii="Bookman Old Style" w:eastAsia="Times New Roman" w:hAnsi="Bookman Old Style" w:cs="Times New Roman"/>
          <w:sz w:val="24"/>
          <w:szCs w:val="24"/>
        </w:rPr>
        <w:t>ς</w:t>
      </w:r>
      <w:r w:rsidR="006527D0" w:rsidRPr="00690309">
        <w:rPr>
          <w:rFonts w:ascii="Bookman Old Style" w:eastAsia="Times New Roman" w:hAnsi="Bookman Old Style" w:cs="Times New Roman"/>
          <w:sz w:val="24"/>
          <w:szCs w:val="24"/>
        </w:rPr>
        <w:t xml:space="preserve"> της συζήτησης, είτε παρατηρείται</w:t>
      </w:r>
      <w:r w:rsidR="007A6D6A">
        <w:rPr>
          <w:rFonts w:ascii="Bookman Old Style" w:eastAsia="Times New Roman" w:hAnsi="Bookman Old Style" w:cs="Times New Roman"/>
          <w:sz w:val="24"/>
          <w:szCs w:val="24"/>
        </w:rPr>
        <w:t xml:space="preserve"> και</w:t>
      </w:r>
      <w:r w:rsidR="006527D0" w:rsidRPr="00690309">
        <w:rPr>
          <w:rFonts w:ascii="Bookman Old Style" w:eastAsia="Times New Roman" w:hAnsi="Bookman Old Style" w:cs="Times New Roman"/>
          <w:sz w:val="24"/>
          <w:szCs w:val="24"/>
        </w:rPr>
        <w:t>, ολόενα και αυξανόμενη</w:t>
      </w:r>
      <w:r w:rsidR="006574F0">
        <w:rPr>
          <w:rFonts w:ascii="Bookman Old Style" w:eastAsia="Times New Roman" w:hAnsi="Bookman Old Style" w:cs="Times New Roman"/>
          <w:sz w:val="24"/>
          <w:szCs w:val="24"/>
        </w:rPr>
        <w:t>,</w:t>
      </w:r>
      <w:r w:rsidR="006527D0" w:rsidRPr="00690309">
        <w:rPr>
          <w:rFonts w:ascii="Bookman Old Style" w:eastAsia="Times New Roman" w:hAnsi="Bookman Old Style" w:cs="Times New Roman"/>
          <w:sz w:val="24"/>
          <w:szCs w:val="24"/>
        </w:rPr>
        <w:t xml:space="preserve"> τάση </w:t>
      </w:r>
      <w:r w:rsidR="00B10FC7" w:rsidRPr="00690309">
        <w:rPr>
          <w:rFonts w:ascii="Bookman Old Style" w:eastAsia="Times New Roman" w:hAnsi="Bookman Old Style" w:cs="Times New Roman"/>
          <w:sz w:val="24"/>
          <w:szCs w:val="24"/>
        </w:rPr>
        <w:t>για ηλεκτρονική διεξαγωγή τους.</w:t>
      </w:r>
      <w:r w:rsidR="006527D0" w:rsidRPr="00690309">
        <w:rPr>
          <w:rFonts w:ascii="Bookman Old Style" w:eastAsia="Times New Roman" w:hAnsi="Bookman Old Style" w:cs="Times New Roman"/>
          <w:sz w:val="24"/>
          <w:szCs w:val="24"/>
        </w:rPr>
        <w:t xml:space="preserve"> </w:t>
      </w:r>
    </w:p>
    <w:p w:rsidR="00716654" w:rsidRDefault="00367AA5" w:rsidP="00690309">
      <w:pPr>
        <w:spacing w:line="360" w:lineRule="auto"/>
        <w:ind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        </w:t>
      </w:r>
      <w:r w:rsidR="00716654" w:rsidRPr="00690309">
        <w:rPr>
          <w:rFonts w:ascii="Bookman Old Style" w:eastAsia="Times New Roman" w:hAnsi="Bookman Old Style" w:cs="Times New Roman"/>
          <w:sz w:val="24"/>
          <w:szCs w:val="24"/>
        </w:rPr>
        <w:t xml:space="preserve">   Αθήνα, </w:t>
      </w:r>
      <w:r w:rsidR="00E157E6" w:rsidRPr="00690309">
        <w:rPr>
          <w:rFonts w:ascii="Bookman Old Style" w:eastAsia="Times New Roman" w:hAnsi="Bookman Old Style" w:cs="Times New Roman"/>
          <w:sz w:val="24"/>
          <w:szCs w:val="24"/>
        </w:rPr>
        <w:t>Σεπτέμβριος</w:t>
      </w:r>
      <w:r w:rsidR="00716654" w:rsidRPr="00690309">
        <w:rPr>
          <w:rFonts w:ascii="Bookman Old Style" w:eastAsia="Times New Roman" w:hAnsi="Bookman Old Style" w:cs="Times New Roman"/>
          <w:sz w:val="24"/>
          <w:szCs w:val="24"/>
        </w:rPr>
        <w:t xml:space="preserve"> 2019.</w:t>
      </w:r>
    </w:p>
    <w:p w:rsidR="00FF1819" w:rsidRDefault="00FF1819" w:rsidP="00690309">
      <w:pPr>
        <w:spacing w:line="360" w:lineRule="auto"/>
        <w:ind w:firstLine="720"/>
        <w:jc w:val="both"/>
        <w:rPr>
          <w:rFonts w:ascii="Bookman Old Style" w:eastAsia="Times New Roman" w:hAnsi="Bookman Old Style" w:cs="Times New Roman"/>
          <w:sz w:val="24"/>
          <w:szCs w:val="24"/>
        </w:rPr>
      </w:pPr>
    </w:p>
    <w:sectPr w:rsidR="00FF1819" w:rsidSect="00367B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8A2" w:rsidRDefault="00F758A2" w:rsidP="00F04923">
      <w:pPr>
        <w:spacing w:after="0" w:line="240" w:lineRule="auto"/>
      </w:pPr>
      <w:r>
        <w:separator/>
      </w:r>
    </w:p>
  </w:endnote>
  <w:endnote w:type="continuationSeparator" w:id="1">
    <w:p w:rsidR="00F758A2" w:rsidRDefault="00F758A2" w:rsidP="00F0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LiberationSans-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8A2" w:rsidRDefault="00F758A2" w:rsidP="00F04923">
      <w:pPr>
        <w:spacing w:after="0" w:line="240" w:lineRule="auto"/>
      </w:pPr>
      <w:r>
        <w:separator/>
      </w:r>
    </w:p>
  </w:footnote>
  <w:footnote w:type="continuationSeparator" w:id="1">
    <w:p w:rsidR="00F758A2" w:rsidRDefault="00F758A2" w:rsidP="00F04923">
      <w:pPr>
        <w:spacing w:after="0" w:line="240" w:lineRule="auto"/>
      </w:pPr>
      <w:r>
        <w:continuationSeparator/>
      </w:r>
    </w:p>
  </w:footnote>
  <w:footnote w:id="2">
    <w:p w:rsidR="00346644" w:rsidRPr="006207BE" w:rsidRDefault="00346644" w:rsidP="00690309">
      <w:pPr>
        <w:pStyle w:val="FootnoteText"/>
        <w:jc w:val="both"/>
      </w:pPr>
      <w:r w:rsidRPr="006207BE">
        <w:rPr>
          <w:rStyle w:val="FootnoteReference"/>
        </w:rPr>
        <w:footnoteRef/>
      </w:r>
      <w:r w:rsidRPr="006207BE">
        <w:t xml:space="preserve"> </w:t>
      </w:r>
      <w:r w:rsidRPr="006207BE">
        <w:rPr>
          <w:rFonts w:cs="Times New Roman"/>
          <w:iCs/>
        </w:rPr>
        <w:t>ΦΕΚ Α΄5/17.1.2018 και Α΄8/23.1.2018</w:t>
      </w:r>
      <w:r w:rsidRPr="006207BE">
        <w:t xml:space="preserve"> </w:t>
      </w:r>
    </w:p>
  </w:footnote>
  <w:footnote w:id="3">
    <w:p w:rsidR="00346644" w:rsidRPr="006207BE" w:rsidRDefault="00346644" w:rsidP="00690309">
      <w:pPr>
        <w:pStyle w:val="FootnoteText"/>
        <w:jc w:val="both"/>
      </w:pPr>
      <w:r w:rsidRPr="006207BE">
        <w:rPr>
          <w:rStyle w:val="FootnoteReference"/>
        </w:rPr>
        <w:footnoteRef/>
      </w:r>
      <w:r w:rsidRPr="006207BE">
        <w:t xml:space="preserve"> </w:t>
      </w:r>
      <w:r w:rsidRPr="006207BE">
        <w:rPr>
          <w:rFonts w:cs="Times New Roman"/>
          <w:iCs/>
        </w:rPr>
        <w:t xml:space="preserve">διαθ. εδώ:  </w:t>
      </w:r>
      <w:hyperlink r:id="rId1" w:history="1">
        <w:r w:rsidRPr="006207BE">
          <w:rPr>
            <w:iCs/>
          </w:rPr>
          <w:t>https://eur-lex.europa.eu/legal-content/EL/TXT/PDF/?uri=CELEX:52002DC0746&amp;from=IT</w:t>
        </w:r>
      </w:hyperlink>
      <w:r w:rsidRPr="006207BE">
        <w:rPr>
          <w:rFonts w:cs="Times New Roman"/>
          <w:iCs/>
        </w:rPr>
        <w:t>, με ημ. προσβ. 6.9.2019.</w:t>
      </w:r>
      <w:r w:rsidRPr="006207BE">
        <w:t xml:space="preserve"> </w:t>
      </w:r>
    </w:p>
  </w:footnote>
  <w:footnote w:id="4">
    <w:p w:rsidR="00346644" w:rsidRPr="006207BE" w:rsidRDefault="00346644" w:rsidP="00001C81">
      <w:pPr>
        <w:pStyle w:val="FootnoteText"/>
        <w:jc w:val="both"/>
      </w:pPr>
      <w:r w:rsidRPr="006207BE">
        <w:rPr>
          <w:rStyle w:val="FootnoteReference"/>
        </w:rPr>
        <w:footnoteRef/>
      </w:r>
      <w:r w:rsidRPr="006207BE">
        <w:t xml:space="preserve"> κ</w:t>
      </w:r>
      <w:r w:rsidRPr="006207BE">
        <w:rPr>
          <w:rFonts w:cs="Times New Roman"/>
          <w:iCs/>
        </w:rPr>
        <w:t>ατά τα έτη 2016, 2017, 2018 οι κατατεθειμένες μικροδιαφορές στο ΕιρΑθ, ήταν περίπου 18.000, οι δε υποθέσεις της νέας τακτικής διαδικασίας, περίπου, 10.000.</w:t>
      </w:r>
    </w:p>
  </w:footnote>
  <w:footnote w:id="5">
    <w:p w:rsidR="00346644" w:rsidRPr="006207BE" w:rsidRDefault="00346644" w:rsidP="00110901">
      <w:pPr>
        <w:pStyle w:val="FootnoteText"/>
        <w:jc w:val="both"/>
      </w:pPr>
      <w:r w:rsidRPr="006207BE">
        <w:rPr>
          <w:rStyle w:val="FootnoteReference"/>
        </w:rPr>
        <w:footnoteRef/>
      </w:r>
      <w:r w:rsidRPr="006207BE">
        <w:rPr>
          <w:rStyle w:val="FootnoteReference"/>
        </w:rPr>
        <w:t xml:space="preserve"> </w:t>
      </w:r>
      <w:hyperlink r:id="rId2" w:history="1">
        <w:r w:rsidRPr="006207BE">
          <w:rPr>
            <w:rFonts w:cs="Times New Roman"/>
            <w:iCs/>
            <w:lang w:val="en-US"/>
          </w:rPr>
          <w:t>http</w:t>
        </w:r>
        <w:r w:rsidRPr="006207BE">
          <w:rPr>
            <w:rFonts w:cs="Times New Roman"/>
            <w:iCs/>
          </w:rPr>
          <w:t>://</w:t>
        </w:r>
        <w:r w:rsidRPr="006207BE">
          <w:rPr>
            <w:rFonts w:cs="Times New Roman"/>
            <w:iCs/>
            <w:lang w:val="en-US"/>
          </w:rPr>
          <w:t>www</w:t>
        </w:r>
        <w:r w:rsidRPr="006207BE">
          <w:rPr>
            <w:rFonts w:cs="Times New Roman"/>
            <w:iCs/>
          </w:rPr>
          <w:t>.</w:t>
        </w:r>
        <w:r w:rsidRPr="006207BE">
          <w:rPr>
            <w:rFonts w:cs="Times New Roman"/>
            <w:iCs/>
            <w:lang w:val="en-US"/>
          </w:rPr>
          <w:t>kostasbeys</w:t>
        </w:r>
        <w:r w:rsidRPr="006207BE">
          <w:rPr>
            <w:rFonts w:cs="Times New Roman"/>
            <w:iCs/>
          </w:rPr>
          <w:t>.</w:t>
        </w:r>
        <w:r w:rsidRPr="006207BE">
          <w:rPr>
            <w:rFonts w:cs="Times New Roman"/>
            <w:iCs/>
            <w:lang w:val="en-US"/>
          </w:rPr>
          <w:t>gr</w:t>
        </w:r>
        <w:r w:rsidRPr="006207BE">
          <w:rPr>
            <w:rFonts w:cs="Times New Roman"/>
            <w:iCs/>
          </w:rPr>
          <w:t>/</w:t>
        </w:r>
        <w:r w:rsidRPr="006207BE">
          <w:rPr>
            <w:rFonts w:cs="Times New Roman"/>
            <w:iCs/>
            <w:lang w:val="en-US"/>
          </w:rPr>
          <w:t>articles</w:t>
        </w:r>
        <w:r w:rsidRPr="006207BE">
          <w:rPr>
            <w:rFonts w:cs="Times New Roman"/>
            <w:iCs/>
          </w:rPr>
          <w:t>.</w:t>
        </w:r>
        <w:r w:rsidRPr="006207BE">
          <w:rPr>
            <w:rFonts w:cs="Times New Roman"/>
            <w:iCs/>
            <w:lang w:val="en-US"/>
          </w:rPr>
          <w:t>php</w:t>
        </w:r>
        <w:r w:rsidRPr="006207BE">
          <w:rPr>
            <w:rFonts w:cs="Times New Roman"/>
            <w:iCs/>
          </w:rPr>
          <w:t>?</w:t>
        </w:r>
        <w:r w:rsidRPr="006207BE">
          <w:rPr>
            <w:rFonts w:cs="Times New Roman"/>
            <w:iCs/>
            <w:lang w:val="en-US"/>
          </w:rPr>
          <w:t>s</w:t>
        </w:r>
        <w:r w:rsidRPr="006207BE">
          <w:rPr>
            <w:rFonts w:cs="Times New Roman"/>
            <w:iCs/>
          </w:rPr>
          <w:t>=4&amp;</w:t>
        </w:r>
        <w:r w:rsidRPr="006207BE">
          <w:rPr>
            <w:rFonts w:cs="Times New Roman"/>
            <w:iCs/>
            <w:lang w:val="en-US"/>
          </w:rPr>
          <w:t>mid</w:t>
        </w:r>
        <w:r w:rsidRPr="006207BE">
          <w:rPr>
            <w:rFonts w:cs="Times New Roman"/>
            <w:iCs/>
          </w:rPr>
          <w:t>=1096&amp;</w:t>
        </w:r>
        <w:r w:rsidRPr="006207BE">
          <w:rPr>
            <w:rFonts w:cs="Times New Roman"/>
            <w:iCs/>
            <w:lang w:val="en-US"/>
          </w:rPr>
          <w:t>mnu</w:t>
        </w:r>
        <w:r w:rsidRPr="006207BE">
          <w:rPr>
            <w:rFonts w:cs="Times New Roman"/>
            <w:iCs/>
          </w:rPr>
          <w:t>=1&amp;</w:t>
        </w:r>
        <w:r w:rsidRPr="006207BE">
          <w:rPr>
            <w:rFonts w:cs="Times New Roman"/>
            <w:iCs/>
            <w:lang w:val="en-US"/>
          </w:rPr>
          <w:t>id</w:t>
        </w:r>
        <w:r w:rsidRPr="006207BE">
          <w:rPr>
            <w:rFonts w:cs="Times New Roman"/>
            <w:iCs/>
          </w:rPr>
          <w:t>=19542</w:t>
        </w:r>
      </w:hyperlink>
      <w:r w:rsidRPr="006207BE">
        <w:t>.</w:t>
      </w:r>
    </w:p>
  </w:footnote>
  <w:footnote w:id="6">
    <w:p w:rsidR="00346644" w:rsidRPr="006207BE" w:rsidRDefault="00346644" w:rsidP="002B1059">
      <w:pPr>
        <w:pStyle w:val="FootnoteText"/>
        <w:jc w:val="both"/>
      </w:pPr>
      <w:r w:rsidRPr="006207BE">
        <w:rPr>
          <w:rStyle w:val="FootnoteReference"/>
        </w:rPr>
        <w:footnoteRef/>
      </w:r>
      <w:r w:rsidRPr="006207BE">
        <w:t xml:space="preserve"> </w:t>
      </w:r>
      <w:r w:rsidRPr="006207BE">
        <w:rPr>
          <w:rFonts w:cs="Times New Roman"/>
        </w:rPr>
        <w:t>Κεραμεύς, Νομικές Μελέτες Ι, 196, Καλαβρός ΠολΔικ ΓενΜ ΙΙ, έκδοση 2006, σελ. 90.</w:t>
      </w:r>
    </w:p>
  </w:footnote>
  <w:footnote w:id="7">
    <w:p w:rsidR="00346644" w:rsidRPr="006207BE" w:rsidRDefault="00346644" w:rsidP="002B1059">
      <w:pPr>
        <w:pStyle w:val="FootnoteText"/>
        <w:jc w:val="both"/>
      </w:pPr>
      <w:r w:rsidRPr="006207BE">
        <w:rPr>
          <w:vertAlign w:val="superscript"/>
        </w:rPr>
        <w:footnoteRef/>
      </w:r>
      <w:r w:rsidRPr="006207BE">
        <w:rPr>
          <w:vertAlign w:val="superscript"/>
        </w:rPr>
        <w:t xml:space="preserve"> </w:t>
      </w:r>
      <w:r w:rsidRPr="006207BE">
        <w:rPr>
          <w:rFonts w:cs="Times New Roman"/>
        </w:rPr>
        <w:t>ΑΠ 175/2005 Α΄δημ. ΤΝΠ Νόμος, ΕιρΑθ 611/2014 Α΄δημ. ΤΝΠ Νόμος, ΕιρΡοδ 15/2014 Α΄δημ. ΤΝΠ Νόμος.</w:t>
      </w:r>
    </w:p>
  </w:footnote>
  <w:footnote w:id="8">
    <w:p w:rsidR="00346644" w:rsidRPr="006207BE" w:rsidRDefault="00346644" w:rsidP="00690309">
      <w:pPr>
        <w:pStyle w:val="FootnoteText"/>
        <w:jc w:val="both"/>
      </w:pPr>
      <w:r w:rsidRPr="006207BE">
        <w:rPr>
          <w:rStyle w:val="FootnoteReference"/>
        </w:rPr>
        <w:footnoteRef/>
      </w:r>
      <w:r w:rsidRPr="006207BE">
        <w:t xml:space="preserve"> </w:t>
      </w:r>
      <w:r w:rsidRPr="006207BE">
        <w:rPr>
          <w:rFonts w:cs="Times New Roman"/>
          <w:iCs/>
        </w:rPr>
        <w:t>Καταργήθηκε η δυνατότητα εκούσιας αντιπροσώπευσης, κατά το αρ. 472πΚΠολΔ, και προφορικής άσκησης της αγωγής, κατόπιν τροποποιήσεως του αρ. 468 ΚΠολΔ, με το άρθρο 1 άρθρο δεύτερο παρ. 1 ν. 4335/2015.</w:t>
      </w:r>
      <w:r w:rsidRPr="006207BE">
        <w:t xml:space="preserve">  </w:t>
      </w:r>
    </w:p>
  </w:footnote>
  <w:footnote w:id="9">
    <w:p w:rsidR="00346644" w:rsidRPr="006207BE" w:rsidRDefault="00346644" w:rsidP="00AE1546">
      <w:pPr>
        <w:pStyle w:val="FootnoteText"/>
        <w:jc w:val="both"/>
        <w:rPr>
          <w:lang w:val="en-US"/>
        </w:rPr>
      </w:pPr>
      <w:r w:rsidRPr="006207BE">
        <w:rPr>
          <w:rStyle w:val="FootnoteReference"/>
        </w:rPr>
        <w:footnoteRef/>
      </w:r>
      <w:r w:rsidRPr="006207BE">
        <w:t xml:space="preserve"> </w:t>
      </w:r>
      <w:r w:rsidRPr="006207BE">
        <w:rPr>
          <w:rFonts w:cs="Times New Roman"/>
          <w:iCs/>
          <w:lang w:val="en-US"/>
        </w:rPr>
        <w:t>Paolo</w:t>
      </w:r>
      <w:r w:rsidRPr="006207BE">
        <w:rPr>
          <w:rFonts w:cs="Times New Roman"/>
          <w:iCs/>
        </w:rPr>
        <w:t xml:space="preserve"> </w:t>
      </w:r>
      <w:r w:rsidRPr="006207BE">
        <w:rPr>
          <w:rFonts w:cs="Times New Roman"/>
          <w:iCs/>
          <w:lang w:val="en-US"/>
        </w:rPr>
        <w:t>Fantini</w:t>
      </w:r>
      <w:r w:rsidRPr="006207BE">
        <w:rPr>
          <w:rFonts w:cs="Times New Roman"/>
          <w:iCs/>
        </w:rPr>
        <w:t xml:space="preserve">, </w:t>
      </w:r>
      <w:r w:rsidRPr="006207BE">
        <w:rPr>
          <w:rFonts w:cs="Times New Roman"/>
          <w:iCs/>
          <w:lang w:val="en-US"/>
        </w:rPr>
        <w:t>Silvia</w:t>
      </w:r>
      <w:r w:rsidRPr="006207BE">
        <w:rPr>
          <w:rFonts w:cs="Times New Roman"/>
          <w:iCs/>
        </w:rPr>
        <w:t xml:space="preserve"> </w:t>
      </w:r>
      <w:r w:rsidRPr="006207BE">
        <w:rPr>
          <w:rFonts w:cs="Times New Roman"/>
          <w:iCs/>
          <w:lang w:val="en-US"/>
        </w:rPr>
        <w:t>Giacomelli</w:t>
      </w:r>
      <w:r w:rsidRPr="006207BE">
        <w:rPr>
          <w:rFonts w:cs="Times New Roman"/>
          <w:iCs/>
        </w:rPr>
        <w:t xml:space="preserve">, </w:t>
      </w:r>
      <w:r w:rsidRPr="006207BE">
        <w:rPr>
          <w:rFonts w:cs="Times New Roman"/>
          <w:iCs/>
          <w:lang w:val="en-US"/>
        </w:rPr>
        <w:t>Giuliana</w:t>
      </w:r>
      <w:r w:rsidRPr="006207BE">
        <w:rPr>
          <w:rFonts w:cs="Times New Roman"/>
          <w:iCs/>
        </w:rPr>
        <w:t xml:space="preserve"> </w:t>
      </w:r>
      <w:r w:rsidRPr="006207BE">
        <w:rPr>
          <w:rFonts w:cs="Times New Roman"/>
          <w:iCs/>
          <w:lang w:val="en-US"/>
        </w:rPr>
        <w:t>Palumbo</w:t>
      </w:r>
      <w:r w:rsidRPr="006207BE">
        <w:rPr>
          <w:rFonts w:cs="Times New Roman"/>
          <w:iCs/>
        </w:rPr>
        <w:t xml:space="preserve">, </w:t>
      </w:r>
      <w:r w:rsidRPr="006207BE">
        <w:rPr>
          <w:rFonts w:cs="Times New Roman"/>
          <w:iCs/>
          <w:lang w:val="en-US"/>
        </w:rPr>
        <w:t>Gianluca</w:t>
      </w:r>
      <w:r w:rsidRPr="006207BE">
        <w:rPr>
          <w:rFonts w:cs="Times New Roman"/>
          <w:iCs/>
        </w:rPr>
        <w:t xml:space="preserve"> </w:t>
      </w:r>
      <w:r w:rsidRPr="006207BE">
        <w:rPr>
          <w:rFonts w:cs="Times New Roman"/>
          <w:iCs/>
          <w:lang w:val="en-US"/>
        </w:rPr>
        <w:t>Volpe</w:t>
      </w:r>
      <w:r w:rsidRPr="006207BE">
        <w:rPr>
          <w:rFonts w:cs="Times New Roman"/>
          <w:iCs/>
        </w:rPr>
        <w:t xml:space="preserve">, </w:t>
      </w:r>
      <w:r w:rsidRPr="006207BE">
        <w:rPr>
          <w:rFonts w:cs="Times New Roman"/>
          <w:iCs/>
          <w:lang w:val="en-US"/>
        </w:rPr>
        <w:t>La</w:t>
      </w:r>
      <w:r w:rsidRPr="006207BE">
        <w:rPr>
          <w:rFonts w:cs="Times New Roman"/>
          <w:iCs/>
        </w:rPr>
        <w:t xml:space="preserve"> </w:t>
      </w:r>
      <w:r w:rsidRPr="006207BE">
        <w:rPr>
          <w:rFonts w:cs="Times New Roman"/>
          <w:iCs/>
          <w:lang w:val="en-US"/>
        </w:rPr>
        <w:t>litigiosit</w:t>
      </w:r>
      <w:r w:rsidRPr="006207BE">
        <w:rPr>
          <w:rFonts w:cs="Times New Roman"/>
          <w:iCs/>
        </w:rPr>
        <w:t xml:space="preserve">α </w:t>
      </w:r>
      <w:r w:rsidRPr="006207BE">
        <w:rPr>
          <w:rFonts w:cs="Times New Roman"/>
          <w:iCs/>
          <w:lang w:val="en-US"/>
        </w:rPr>
        <w:t>presso</w:t>
      </w:r>
      <w:r w:rsidRPr="006207BE">
        <w:rPr>
          <w:rFonts w:cs="Times New Roman"/>
          <w:iCs/>
        </w:rPr>
        <w:t xml:space="preserve"> </w:t>
      </w:r>
      <w:r w:rsidRPr="006207BE">
        <w:rPr>
          <w:rFonts w:cs="Times New Roman"/>
          <w:iCs/>
          <w:lang w:val="en-US"/>
        </w:rPr>
        <w:t>giudici</w:t>
      </w:r>
      <w:r w:rsidRPr="006207BE">
        <w:rPr>
          <w:rFonts w:cs="Times New Roman"/>
          <w:iCs/>
        </w:rPr>
        <w:t xml:space="preserve"> </w:t>
      </w:r>
      <w:r w:rsidRPr="006207BE">
        <w:rPr>
          <w:rFonts w:cs="Times New Roman"/>
          <w:iCs/>
          <w:lang w:val="en-US"/>
        </w:rPr>
        <w:t>di</w:t>
      </w:r>
      <w:r w:rsidRPr="006207BE">
        <w:rPr>
          <w:rFonts w:cs="Times New Roman"/>
          <w:iCs/>
        </w:rPr>
        <w:t xml:space="preserve"> </w:t>
      </w:r>
      <w:r w:rsidRPr="006207BE">
        <w:rPr>
          <w:rFonts w:cs="Times New Roman"/>
          <w:iCs/>
          <w:lang w:val="en-US"/>
        </w:rPr>
        <w:t>pace</w:t>
      </w:r>
      <w:r w:rsidRPr="006207BE">
        <w:rPr>
          <w:rFonts w:cs="Times New Roman"/>
          <w:iCs/>
        </w:rPr>
        <w:t xml:space="preserve">: </w:t>
      </w:r>
      <w:r w:rsidRPr="006207BE">
        <w:rPr>
          <w:rFonts w:cs="Times New Roman"/>
          <w:iCs/>
          <w:lang w:val="en-US"/>
        </w:rPr>
        <w:t>fisiologia</w:t>
      </w:r>
      <w:r w:rsidRPr="006207BE">
        <w:rPr>
          <w:rFonts w:cs="Times New Roman"/>
          <w:iCs/>
        </w:rPr>
        <w:t xml:space="preserve"> </w:t>
      </w:r>
      <w:r w:rsidRPr="006207BE">
        <w:rPr>
          <w:rFonts w:cs="Times New Roman"/>
          <w:iCs/>
          <w:lang w:val="en-US"/>
        </w:rPr>
        <w:t>e</w:t>
      </w:r>
      <w:r w:rsidRPr="006207BE">
        <w:rPr>
          <w:rFonts w:cs="Times New Roman"/>
          <w:iCs/>
        </w:rPr>
        <w:t xml:space="preserve"> </w:t>
      </w:r>
      <w:r w:rsidRPr="006207BE">
        <w:rPr>
          <w:rFonts w:cs="Times New Roman"/>
          <w:iCs/>
          <w:lang w:val="en-US"/>
        </w:rPr>
        <w:t>casi</w:t>
      </w:r>
      <w:r w:rsidRPr="006207BE">
        <w:rPr>
          <w:rFonts w:cs="Times New Roman"/>
          <w:iCs/>
        </w:rPr>
        <w:t xml:space="preserve"> </w:t>
      </w:r>
      <w:r w:rsidRPr="006207BE">
        <w:rPr>
          <w:rFonts w:cs="Times New Roman"/>
          <w:iCs/>
          <w:lang w:val="en-US"/>
        </w:rPr>
        <w:t>anomali</w:t>
      </w:r>
      <w:r w:rsidRPr="006207BE">
        <w:rPr>
          <w:rFonts w:cs="Times New Roman"/>
          <w:iCs/>
        </w:rPr>
        <w:t xml:space="preserve">, </w:t>
      </w:r>
      <w:r w:rsidRPr="006207BE">
        <w:rPr>
          <w:rFonts w:cs="Times New Roman"/>
          <w:iCs/>
          <w:lang w:val="en-US"/>
        </w:rPr>
        <w:t>Banca</w:t>
      </w:r>
      <w:r w:rsidRPr="006207BE">
        <w:rPr>
          <w:rFonts w:cs="Times New Roman"/>
          <w:iCs/>
        </w:rPr>
        <w:t xml:space="preserve"> </w:t>
      </w:r>
      <w:r w:rsidRPr="006207BE">
        <w:rPr>
          <w:rFonts w:cs="Times New Roman"/>
          <w:iCs/>
          <w:lang w:val="en-US"/>
        </w:rPr>
        <w:t>d</w:t>
      </w:r>
      <w:r w:rsidRPr="006207BE">
        <w:rPr>
          <w:rFonts w:cs="Times New Roman"/>
          <w:iCs/>
        </w:rPr>
        <w:t xml:space="preserve">’ </w:t>
      </w:r>
      <w:r w:rsidRPr="006207BE">
        <w:rPr>
          <w:rFonts w:cs="Times New Roman"/>
          <w:iCs/>
          <w:lang w:val="en-US"/>
        </w:rPr>
        <w:t>Italia</w:t>
      </w:r>
      <w:r w:rsidRPr="006207BE">
        <w:rPr>
          <w:rFonts w:cs="Times New Roman"/>
          <w:iCs/>
        </w:rPr>
        <w:t xml:space="preserve">,  </w:t>
      </w:r>
      <w:r w:rsidRPr="006207BE">
        <w:rPr>
          <w:rFonts w:cs="Times New Roman"/>
          <w:iCs/>
          <w:lang w:val="en-US"/>
        </w:rPr>
        <w:t>Numero</w:t>
      </w:r>
      <w:r w:rsidRPr="006207BE">
        <w:rPr>
          <w:rFonts w:cs="Times New Roman"/>
          <w:iCs/>
        </w:rPr>
        <w:t xml:space="preserve"> 92 – </w:t>
      </w:r>
      <w:r w:rsidRPr="006207BE">
        <w:rPr>
          <w:rFonts w:cs="Times New Roman"/>
          <w:iCs/>
          <w:lang w:val="en-US"/>
        </w:rPr>
        <w:t>Aprile</w:t>
      </w:r>
      <w:r w:rsidRPr="006207BE">
        <w:rPr>
          <w:rFonts w:cs="Times New Roman"/>
          <w:iCs/>
        </w:rPr>
        <w:t xml:space="preserve"> 2011, σ. 5, διαθ. εδώ:</w:t>
      </w:r>
      <w:hyperlink r:id="rId3" w:history="1">
        <w:r w:rsidRPr="006207BE">
          <w:rPr>
            <w:rFonts w:cs="Times New Roman"/>
            <w:iCs/>
          </w:rPr>
          <w:t>https://webstat.giustizia.it/Analisi%20e%20ricerche/La%20litigiosit%C3%A0%20presso%20i%20giudici%20di%20pace.pdf</w:t>
        </w:r>
      </w:hyperlink>
      <w:r w:rsidRPr="006207BE">
        <w:rPr>
          <w:rFonts w:cs="Times New Roman"/>
          <w:iCs/>
        </w:rPr>
        <w:t xml:space="preserve">, με ημ. προσβ. </w:t>
      </w:r>
      <w:r w:rsidRPr="006207BE">
        <w:rPr>
          <w:rFonts w:cs="Times New Roman"/>
          <w:iCs/>
          <w:lang w:val="en-US"/>
        </w:rPr>
        <w:t xml:space="preserve">11.9.2019.  </w:t>
      </w:r>
    </w:p>
  </w:footnote>
  <w:footnote w:id="10">
    <w:p w:rsidR="00346644" w:rsidRPr="006207BE" w:rsidRDefault="00346644" w:rsidP="00D02007">
      <w:pPr>
        <w:autoSpaceDE w:val="0"/>
        <w:autoSpaceDN w:val="0"/>
        <w:adjustRightInd w:val="0"/>
        <w:spacing w:after="0" w:line="240" w:lineRule="auto"/>
        <w:jc w:val="both"/>
        <w:rPr>
          <w:rFonts w:cs="LiberationSans-Bold"/>
          <w:b/>
          <w:bCs/>
          <w:color w:val="000000"/>
          <w:sz w:val="20"/>
          <w:szCs w:val="20"/>
          <w:lang w:val="en-US"/>
        </w:rPr>
      </w:pPr>
      <w:r w:rsidRPr="006207BE">
        <w:rPr>
          <w:rStyle w:val="FootnoteReference"/>
          <w:sz w:val="20"/>
          <w:szCs w:val="20"/>
        </w:rPr>
        <w:footnoteRef/>
      </w:r>
      <w:r w:rsidRPr="006207BE">
        <w:rPr>
          <w:sz w:val="20"/>
          <w:szCs w:val="20"/>
          <w:lang w:val="en-US"/>
        </w:rPr>
        <w:t xml:space="preserve"> </w:t>
      </w:r>
      <w:r w:rsidRPr="006207BE">
        <w:rPr>
          <w:rFonts w:cs="Times New Roman"/>
          <w:sz w:val="20"/>
          <w:szCs w:val="20"/>
          <w:lang w:val="en-US"/>
        </w:rPr>
        <w:t xml:space="preserve">Fernando, P. (2012). Intertwining Judicial Reforms and the Use of ICT in Courts: A Brief Description of the Portuguese Experience. European Quarterly of Political Attitudes and Mentalities, 8(2), </w:t>
      </w:r>
      <w:r w:rsidRPr="006207BE">
        <w:rPr>
          <w:rFonts w:cs="Times New Roman"/>
          <w:sz w:val="20"/>
          <w:szCs w:val="20"/>
        </w:rPr>
        <w:t>σ</w:t>
      </w:r>
      <w:r w:rsidRPr="006207BE">
        <w:rPr>
          <w:rFonts w:cs="Times New Roman"/>
          <w:sz w:val="20"/>
          <w:szCs w:val="20"/>
          <w:lang w:val="en-US"/>
        </w:rPr>
        <w:t xml:space="preserve">. 7, </w:t>
      </w:r>
      <w:r w:rsidRPr="006207BE">
        <w:rPr>
          <w:rFonts w:cs="Times New Roman"/>
          <w:sz w:val="20"/>
          <w:szCs w:val="20"/>
        </w:rPr>
        <w:t>διαθ</w:t>
      </w:r>
      <w:r w:rsidRPr="006207BE">
        <w:rPr>
          <w:rFonts w:cs="Times New Roman"/>
          <w:sz w:val="20"/>
          <w:szCs w:val="20"/>
          <w:lang w:val="en-US"/>
        </w:rPr>
        <w:t xml:space="preserve">. </w:t>
      </w:r>
      <w:r w:rsidRPr="006207BE">
        <w:rPr>
          <w:rFonts w:cs="Times New Roman"/>
          <w:sz w:val="20"/>
          <w:szCs w:val="20"/>
        </w:rPr>
        <w:t>εδώ</w:t>
      </w:r>
      <w:r w:rsidRPr="006207BE">
        <w:rPr>
          <w:rFonts w:cs="Times New Roman"/>
          <w:sz w:val="20"/>
          <w:szCs w:val="20"/>
          <w:lang w:val="en-US"/>
        </w:rPr>
        <w:t xml:space="preserve">: </w:t>
      </w:r>
      <w:hyperlink r:id="rId4" w:history="1">
        <w:r w:rsidRPr="006207BE">
          <w:rPr>
            <w:rFonts w:cs="Times New Roman"/>
            <w:sz w:val="20"/>
            <w:szCs w:val="20"/>
            <w:lang w:val="en-US"/>
          </w:rPr>
          <w:t>https://nbn-resolving.org/urn:nbn:de:0168-ssoar-62442-3</w:t>
        </w:r>
      </w:hyperlink>
      <w:r w:rsidRPr="006207BE">
        <w:rPr>
          <w:rFonts w:cs="Times New Roman"/>
          <w:sz w:val="20"/>
          <w:szCs w:val="20"/>
          <w:lang w:val="en-US"/>
        </w:rPr>
        <w:t xml:space="preserve">, </w:t>
      </w:r>
      <w:r w:rsidRPr="006207BE">
        <w:rPr>
          <w:rFonts w:cs="Times New Roman"/>
          <w:sz w:val="20"/>
          <w:szCs w:val="20"/>
        </w:rPr>
        <w:t>με</w:t>
      </w:r>
      <w:r w:rsidRPr="006207BE">
        <w:rPr>
          <w:rFonts w:cs="Times New Roman"/>
          <w:sz w:val="20"/>
          <w:szCs w:val="20"/>
          <w:lang w:val="en-US"/>
        </w:rPr>
        <w:t xml:space="preserve"> </w:t>
      </w:r>
      <w:r w:rsidRPr="006207BE">
        <w:rPr>
          <w:rFonts w:cs="Times New Roman"/>
          <w:sz w:val="20"/>
          <w:szCs w:val="20"/>
        </w:rPr>
        <w:t>ημ</w:t>
      </w:r>
      <w:r w:rsidRPr="006207BE">
        <w:rPr>
          <w:rFonts w:cs="Times New Roman"/>
          <w:sz w:val="20"/>
          <w:szCs w:val="20"/>
          <w:lang w:val="en-US"/>
        </w:rPr>
        <w:t xml:space="preserve">. </w:t>
      </w:r>
      <w:r w:rsidRPr="006207BE">
        <w:rPr>
          <w:rFonts w:cs="Times New Roman"/>
          <w:sz w:val="20"/>
          <w:szCs w:val="20"/>
        </w:rPr>
        <w:t>προσβ</w:t>
      </w:r>
      <w:r w:rsidRPr="006207BE">
        <w:rPr>
          <w:rFonts w:cs="Times New Roman"/>
          <w:sz w:val="20"/>
          <w:szCs w:val="20"/>
          <w:lang w:val="en-US"/>
        </w:rPr>
        <w:t>. 11.9.2019.</w:t>
      </w:r>
    </w:p>
  </w:footnote>
  <w:footnote w:id="11">
    <w:p w:rsidR="00346644" w:rsidRPr="006207BE" w:rsidRDefault="00346644" w:rsidP="00F258BC">
      <w:pPr>
        <w:pStyle w:val="FootnoteText"/>
        <w:jc w:val="both"/>
      </w:pPr>
      <w:r w:rsidRPr="006207BE">
        <w:rPr>
          <w:rStyle w:val="FootnoteReference"/>
        </w:rPr>
        <w:footnoteRef/>
      </w:r>
      <w:r w:rsidRPr="006207BE">
        <w:rPr>
          <w:lang w:val="en-US"/>
        </w:rPr>
        <w:t xml:space="preserve"> </w:t>
      </w:r>
      <w:r w:rsidRPr="006207BE">
        <w:rPr>
          <w:rFonts w:cs="Times New Roman"/>
        </w:rPr>
        <w:t>εγγ</w:t>
      </w:r>
      <w:r w:rsidRPr="006207BE">
        <w:rPr>
          <w:rFonts w:cs="Times New Roman"/>
          <w:lang w:val="en-US"/>
        </w:rPr>
        <w:t xml:space="preserve">. Kramer, Xandra E., A Major Step in the Harmonization of Procedural Law in Europe: The European Small Claims Procedure: Accomplishments, New Features and Some Fundamental Questions of European Harmonization (December, 11 2008). THE XIIITH WORLD CONGRESS OF PROCEDURAL LAW: THE BELGIAN AND DUTCH REPORTS, A.W. Jongbloed, ed., Antwerp-Oxford-Portland: Intersentia, 2008. </w:t>
      </w:r>
      <w:r w:rsidRPr="006207BE">
        <w:rPr>
          <w:rFonts w:cs="Times New Roman"/>
        </w:rPr>
        <w:t>Διαθ. εδώ:</w:t>
      </w:r>
      <w:r w:rsidRPr="006207BE">
        <w:rPr>
          <w:rFonts w:cs="Times New Roman"/>
          <w:lang w:val="en-US"/>
        </w:rPr>
        <w:t> </w:t>
      </w:r>
      <w:hyperlink r:id="rId5" w:tgtFrame="_blank" w:history="1">
        <w:r w:rsidRPr="006207BE">
          <w:rPr>
            <w:rStyle w:val="Hyperlink"/>
            <w:rFonts w:cs="Times New Roman"/>
            <w:lang w:val="en-US"/>
          </w:rPr>
          <w:t>https</w:t>
        </w:r>
        <w:r w:rsidRPr="006207BE">
          <w:rPr>
            <w:rStyle w:val="Hyperlink"/>
            <w:rFonts w:cs="Times New Roman"/>
          </w:rPr>
          <w:t>://</w:t>
        </w:r>
        <w:r w:rsidRPr="006207BE">
          <w:rPr>
            <w:rStyle w:val="Hyperlink"/>
            <w:rFonts w:cs="Times New Roman"/>
            <w:lang w:val="en-US"/>
          </w:rPr>
          <w:t>ssrn</w:t>
        </w:r>
        <w:r w:rsidRPr="006207BE">
          <w:rPr>
            <w:rStyle w:val="Hyperlink"/>
            <w:rFonts w:cs="Times New Roman"/>
          </w:rPr>
          <w:t>.</w:t>
        </w:r>
        <w:r w:rsidRPr="006207BE">
          <w:rPr>
            <w:rStyle w:val="Hyperlink"/>
            <w:rFonts w:cs="Times New Roman"/>
            <w:lang w:val="en-US"/>
          </w:rPr>
          <w:t>com</w:t>
        </w:r>
        <w:r w:rsidRPr="006207BE">
          <w:rPr>
            <w:rStyle w:val="Hyperlink"/>
            <w:rFonts w:cs="Times New Roman"/>
          </w:rPr>
          <w:t>/</w:t>
        </w:r>
        <w:r w:rsidRPr="006207BE">
          <w:rPr>
            <w:rStyle w:val="Hyperlink"/>
            <w:rFonts w:cs="Times New Roman"/>
            <w:lang w:val="en-US"/>
          </w:rPr>
          <w:t>abstract</w:t>
        </w:r>
        <w:r w:rsidRPr="006207BE">
          <w:rPr>
            <w:rStyle w:val="Hyperlink"/>
            <w:rFonts w:cs="Times New Roman"/>
          </w:rPr>
          <w:t>=1314727</w:t>
        </w:r>
      </w:hyperlink>
      <w:r w:rsidRPr="006207BE">
        <w:rPr>
          <w:rFonts w:cs="Times New Roman"/>
        </w:rPr>
        <w:t>, με ημ. προσβ. 20.8.2019</w:t>
      </w:r>
      <w:r w:rsidRPr="006207BE">
        <w:t xml:space="preserve"> .</w:t>
      </w:r>
    </w:p>
  </w:footnote>
  <w:footnote w:id="12">
    <w:p w:rsidR="00346644" w:rsidRPr="006207BE" w:rsidRDefault="00346644" w:rsidP="00F258BC">
      <w:pPr>
        <w:pStyle w:val="FootnoteText"/>
        <w:jc w:val="both"/>
        <w:rPr>
          <w:rFonts w:cs="Times New Roman"/>
        </w:rPr>
      </w:pPr>
      <w:r w:rsidRPr="006207BE">
        <w:rPr>
          <w:rStyle w:val="FootnoteReference"/>
        </w:rPr>
        <w:footnoteRef/>
      </w:r>
      <w:r w:rsidRPr="006207BE">
        <w:rPr>
          <w:rFonts w:cs="Times New Roman"/>
        </w:rPr>
        <w:t xml:space="preserve"> Επίσημη Εφημερίδα της Ευρωπαϊκής Ένωσης </w:t>
      </w:r>
      <w:r w:rsidRPr="006207BE">
        <w:rPr>
          <w:rFonts w:cs="Times New Roman"/>
          <w:lang w:val="en-US"/>
        </w:rPr>
        <w:t>L</w:t>
      </w:r>
      <w:r w:rsidRPr="006207BE">
        <w:rPr>
          <w:rFonts w:cs="Times New Roman"/>
        </w:rPr>
        <w:t>199/1/31.7.2007.</w:t>
      </w:r>
    </w:p>
  </w:footnote>
  <w:footnote w:id="13">
    <w:p w:rsidR="00346644" w:rsidRPr="006207BE" w:rsidRDefault="00346644" w:rsidP="00F258BC">
      <w:pPr>
        <w:pStyle w:val="FootnoteText"/>
        <w:jc w:val="both"/>
        <w:rPr>
          <w:rFonts w:cs="Times New Roman"/>
        </w:rPr>
      </w:pPr>
      <w:r w:rsidRPr="006207BE">
        <w:rPr>
          <w:rStyle w:val="FootnoteReference"/>
        </w:rPr>
        <w:footnoteRef/>
      </w:r>
      <w:r w:rsidRPr="006207BE">
        <w:rPr>
          <w:rStyle w:val="FootnoteReference"/>
        </w:rPr>
        <w:t xml:space="preserve"> </w:t>
      </w:r>
      <w:r w:rsidRPr="006207BE">
        <w:rPr>
          <w:rFonts w:cs="Times New Roman"/>
        </w:rPr>
        <w:t xml:space="preserve">ΕΕ </w:t>
      </w:r>
      <w:r w:rsidRPr="006207BE">
        <w:rPr>
          <w:rFonts w:cs="Times New Roman"/>
          <w:lang w:val="en-US"/>
        </w:rPr>
        <w:t>L</w:t>
      </w:r>
      <w:r w:rsidRPr="006207BE">
        <w:rPr>
          <w:rFonts w:cs="Times New Roman"/>
        </w:rPr>
        <w:t xml:space="preserve"> 399/1/30.12.2006.</w:t>
      </w:r>
    </w:p>
  </w:footnote>
  <w:footnote w:id="14">
    <w:p w:rsidR="00346644" w:rsidRPr="006207BE" w:rsidRDefault="00346644" w:rsidP="0047070B">
      <w:pPr>
        <w:pStyle w:val="FootnoteText"/>
        <w:jc w:val="both"/>
      </w:pPr>
      <w:r w:rsidRPr="006207BE">
        <w:rPr>
          <w:rStyle w:val="FootnoteReference"/>
        </w:rPr>
        <w:footnoteRef/>
      </w:r>
      <w:r w:rsidRPr="006207BE">
        <w:rPr>
          <w:rStyle w:val="FootnoteReference"/>
        </w:rPr>
        <w:t xml:space="preserve"> </w:t>
      </w:r>
      <w:r w:rsidRPr="006207BE">
        <w:rPr>
          <w:rFonts w:cs="Times New Roman"/>
        </w:rPr>
        <w:t>κατά τον Guinchard E. οι Κανονισμοί αυτοί δημιούργησαν την Ευρωπαϊκή Πολιτική Δικονομία «,La procédure civile européenne est née. Vive le créancier!», Revue trimestrielle de droit commercial, 2008.2.</w:t>
      </w:r>
      <w:r w:rsidRPr="006207BE">
        <w:t xml:space="preserve">  </w:t>
      </w:r>
    </w:p>
  </w:footnote>
  <w:footnote w:id="15">
    <w:p w:rsidR="00346644" w:rsidRPr="006207BE" w:rsidRDefault="00346644" w:rsidP="0047070B">
      <w:pPr>
        <w:pStyle w:val="FootnoteText"/>
        <w:jc w:val="both"/>
      </w:pPr>
      <w:r w:rsidRPr="006207BE">
        <w:rPr>
          <w:rStyle w:val="FootnoteReference"/>
        </w:rPr>
        <w:footnoteRef/>
      </w:r>
      <w:r w:rsidRPr="006207BE">
        <w:t xml:space="preserve"> </w:t>
      </w:r>
      <w:r w:rsidRPr="006207BE">
        <w:rPr>
          <w:rFonts w:cs="Times New Roman"/>
        </w:rPr>
        <w:t>το παράγωγο Δικονομικό Δίκαιο άμεσης εφαρμογής εγγίζει, ήδη, το σύνολο σχεδόν της έννομης σχέσης της Πολιτικής Δίκης</w:t>
      </w:r>
      <w:r w:rsidRPr="006207BE">
        <w:rPr>
          <w:rFonts w:cs="Times New Roman"/>
          <w:color w:val="000000"/>
        </w:rPr>
        <w:t xml:space="preserve"> (εγγ. Περάκης, Δικονομικό Δίκαιο της Ευρωπαϊκής Ένωσης, Νομική Βιβλιοθήκη, 2017)</w:t>
      </w:r>
      <w:r w:rsidRPr="006207BE">
        <w:rPr>
          <w:rFonts w:cs="Times New Roman"/>
        </w:rPr>
        <w:t xml:space="preserve">, από τα γνήσια ασφαλιστικά μέτρα, με την θέσπιση </w:t>
      </w:r>
      <w:r w:rsidRPr="006207BE">
        <w:rPr>
          <w:rFonts w:cs="Times New Roman"/>
          <w:bCs/>
        </w:rPr>
        <w:t>διαδικασίας ευρωπαϊκής διαταγής δέσμευσης λογαριασμού κατά τον Καν. ΕΕ</w:t>
      </w:r>
      <w:r w:rsidRPr="006207BE">
        <w:rPr>
          <w:rFonts w:cs="Times New Roman"/>
        </w:rPr>
        <w:t xml:space="preserve">  </w:t>
      </w:r>
      <w:r w:rsidRPr="006207BE">
        <w:rPr>
          <w:rFonts w:cs="Times New Roman"/>
          <w:bCs/>
        </w:rPr>
        <w:t>655/2014</w:t>
      </w:r>
      <w:r w:rsidRPr="006207BE">
        <w:rPr>
          <w:rFonts w:cs="Times New Roman"/>
          <w:color w:val="000000"/>
        </w:rPr>
        <w:t xml:space="preserve"> (εγγ. Τζουνάκου, «Η ευρωπαϊκή διαταγή δέσμευσης λογαριασμού (ΕΔΔΛ) ως ενωσιακό ασφαλιστικό μέτρο κατά τον κανονισμό (ΕΕ) 655/2014»,  Εισήγηση στην Εθνική Σχολή Δικαστικών Λειτουργών στα πλαίσια του επιμορφωτικού </w:t>
      </w:r>
      <w:r w:rsidRPr="006207BE">
        <w:rPr>
          <w:rFonts w:cs="Times New Roman"/>
        </w:rPr>
        <w:t xml:space="preserve">προγράμματος με τίτλο «Ευρωπαϊκοί Κανονισμοί» που διεξήχθη 26 και 27 Απριλίου 2018 στη Θεσσαλονίκη, διαθέσιμο εδώ: </w:t>
      </w:r>
      <w:hyperlink r:id="rId6" w:history="1">
        <w:r w:rsidRPr="006207BE">
          <w:rPr>
            <w:rStyle w:val="Hyperlink"/>
          </w:rPr>
          <w:t>http://www.esdi.gr/nex/images/stories/pdf/epimorfosi/2018/tzounakou.pdf), την</w:t>
        </w:r>
      </w:hyperlink>
      <w:r w:rsidRPr="006207BE">
        <w:rPr>
          <w:rFonts w:cs="Times New Roman"/>
        </w:rPr>
        <w:t xml:space="preserve"> αμφισβητούμενη διαδικασία, με την ευρωπαϊκη διαδικασία μικροδιαφορών, κατά</w:t>
      </w:r>
      <w:r w:rsidRPr="006207BE">
        <w:rPr>
          <w:rFonts w:cs="Times New Roman"/>
          <w:bCs/>
        </w:rPr>
        <w:t xml:space="preserve"> τον Καν. ΕΕ 861/2007, όπως τροποποιήθηκε με τον Καν. ΕΕ 2015/2421 (</w:t>
      </w:r>
      <w:r w:rsidRPr="006207BE">
        <w:rPr>
          <w:rFonts w:cs="Times New Roman"/>
        </w:rPr>
        <w:t xml:space="preserve">εγγ. Π. Αρβανιτάκης/Π. Γιαννόπουλος/Σ. Καραμέρος, Κανονισμός 861/2007, Σάκουλας, 2019), </w:t>
      </w:r>
      <w:r w:rsidRPr="006207BE">
        <w:rPr>
          <w:rFonts w:cs="Times New Roman"/>
          <w:bCs/>
        </w:rPr>
        <w:t>τις δικαστικές Πράξεις, με την θέσπιση ευρωπαϊκής διαταγής πληρωμής, κατά τον Καν. ΕΕ 1896/2006</w:t>
      </w:r>
      <w:r w:rsidRPr="006207BE">
        <w:rPr>
          <w:rFonts w:cs="Times New Roman"/>
        </w:rPr>
        <w:t xml:space="preserve"> εγγ. Πανταζόπουλος Στ., Ευρωπαϊκή Διαταγή Πληρωμής, Ερμηνεία Κατ’ Άρθρο, 2012, Ποδηματά Ε., Ευρωπαϊκή Διαταγή Πληρωμής Κατά τον Κανονισμό (ΕΚ) 1896/2006, 2011)</w:t>
      </w:r>
      <w:r w:rsidRPr="006207BE">
        <w:rPr>
          <w:rFonts w:cs="Times New Roman"/>
          <w:bCs/>
        </w:rPr>
        <w:t>, έως και την θέσπιση ευρωπαϊκού κληρονομητηρίου, κατά τον Καν. ΕΕ 650/2012 (εγγ. Φούρκας Β., Η παροχή ευρωπαϊκού κληρονομητηρίου από τα ελληνικά δικαστήρια, ΕΠολΔ 2017.110 επ. Ποδηματά, Το Ευρωπαϊκό κληρονομητήριο, Αρμ. 2014.439), το σύνολο των οποίων προσδίδει μια ενωσιακή δικονομική άλω και αύρα υπέρτερης ισχύος, που, εκ πρώτης όψεως, ξενίζει τον εφαρμοστή του ημεδαπού Δικαίου, αλλά, ουσιαστικά, γαλουχεί σε σύγχρονα πρότυπα επίλυσης διαφορών, τα οποία, με την ασφάλεια δοκιμασμένων κανόνων δικονομίας που εφαρμόζονται στα κράτη - μέλη, έκαναν και την εμφάνισή τους στην ημεδαπή, με τον ν. 4335/2015 και την έγγραφη διεξαγωγή της δίκης, που αυτός εισήγαγε (</w:t>
      </w:r>
      <w:r w:rsidRPr="006207BE">
        <w:rPr>
          <w:rFonts w:cs="Times New Roman"/>
        </w:rPr>
        <w:t>για την συγκριτική επισκόπηση ν. 4335/2015 με αλλοδαπές δικονομικές τάξεις, Δεληκωστόπουλος Ι. Η αναζήτηση της αλήθειας στην πολιτική δίκη, 2016).</w:t>
      </w:r>
      <w:r w:rsidRPr="006207BE">
        <w:t xml:space="preserve"> </w:t>
      </w:r>
    </w:p>
  </w:footnote>
  <w:footnote w:id="16">
    <w:p w:rsidR="00346644" w:rsidRPr="006207BE" w:rsidRDefault="00346644" w:rsidP="00F258BC">
      <w:pPr>
        <w:pStyle w:val="FootnoteText"/>
        <w:jc w:val="both"/>
        <w:rPr>
          <w:rFonts w:cs="Times New Roman"/>
        </w:rPr>
      </w:pPr>
      <w:r w:rsidRPr="006207BE">
        <w:rPr>
          <w:rStyle w:val="FootnoteReference"/>
        </w:rPr>
        <w:footnoteRef/>
      </w:r>
      <w:r w:rsidRPr="006207BE">
        <w:rPr>
          <w:rFonts w:cs="Times New Roman"/>
        </w:rPr>
        <w:t xml:space="preserve"> και τον αντίκτυπο που οι Κανονισμοί αυτοί έχουν, ή θα έπρεπε να έχουν, στην ημεδαπή δικονομική έννομη τάξη,  Pablo Cortes, SMALL CLAIMS IN IRELAND AND THE EU: THE NEED FOR SYNERGY BETWEEN NATIONAL COURTS AND EXTRAJUDICIAL REDRESS, Themis, 2014.</w:t>
      </w:r>
    </w:p>
  </w:footnote>
  <w:footnote w:id="17">
    <w:p w:rsidR="00346644" w:rsidRPr="006207BE" w:rsidRDefault="00346644" w:rsidP="0047070B">
      <w:pPr>
        <w:pStyle w:val="FootnoteText"/>
        <w:jc w:val="both"/>
        <w:rPr>
          <w:lang w:val="en-US"/>
        </w:rPr>
      </w:pPr>
      <w:r w:rsidRPr="006207BE">
        <w:rPr>
          <w:rStyle w:val="FootnoteReference"/>
        </w:rPr>
        <w:footnoteRef/>
      </w:r>
      <w:r w:rsidRPr="006207BE">
        <w:rPr>
          <w:lang w:val="en-US"/>
        </w:rPr>
        <w:t xml:space="preserve"> </w:t>
      </w:r>
      <w:r w:rsidRPr="006207BE">
        <w:rPr>
          <w:rFonts w:eastAsia="Times New Roman" w:cs="Times New Roman"/>
        </w:rPr>
        <w:t>εγγ</w:t>
      </w:r>
      <w:r w:rsidRPr="006207BE">
        <w:rPr>
          <w:rFonts w:eastAsia="Times New Roman" w:cs="Times New Roman"/>
          <w:lang w:val="en-US"/>
        </w:rPr>
        <w:t xml:space="preserve">. De Palo G, Trevor MB, EU Mediation: Law and Practice, Oxford University Press, 2012, </w:t>
      </w:r>
      <w:r w:rsidRPr="006207BE">
        <w:rPr>
          <w:rFonts w:eastAsia="Times New Roman" w:cs="Times New Roman"/>
        </w:rPr>
        <w:t>Πράσινο</w:t>
      </w:r>
      <w:r w:rsidRPr="006207BE">
        <w:rPr>
          <w:rFonts w:eastAsia="Times New Roman" w:cs="Times New Roman"/>
          <w:lang w:val="en-US"/>
        </w:rPr>
        <w:t xml:space="preserve"> </w:t>
      </w:r>
      <w:r w:rsidRPr="006207BE">
        <w:rPr>
          <w:rFonts w:eastAsia="Times New Roman" w:cs="Times New Roman"/>
        </w:rPr>
        <w:t>Βιβλίο</w:t>
      </w:r>
      <w:r w:rsidRPr="006207BE">
        <w:rPr>
          <w:rFonts w:eastAsia="Times New Roman" w:cs="Times New Roman"/>
          <w:lang w:val="en-US"/>
        </w:rPr>
        <w:t xml:space="preserve">, </w:t>
      </w:r>
      <w:r w:rsidRPr="006207BE">
        <w:rPr>
          <w:rFonts w:eastAsia="Times New Roman" w:cs="Times New Roman"/>
        </w:rPr>
        <w:t>ό</w:t>
      </w:r>
      <w:r w:rsidRPr="006207BE">
        <w:rPr>
          <w:rFonts w:eastAsia="Times New Roman" w:cs="Times New Roman"/>
          <w:lang w:val="en-US"/>
        </w:rPr>
        <w:t>.</w:t>
      </w:r>
      <w:r w:rsidRPr="006207BE">
        <w:rPr>
          <w:rFonts w:eastAsia="Times New Roman" w:cs="Times New Roman"/>
        </w:rPr>
        <w:t>π</w:t>
      </w:r>
      <w:r w:rsidRPr="006207BE">
        <w:rPr>
          <w:rFonts w:eastAsia="Times New Roman" w:cs="Times New Roman"/>
          <w:lang w:val="en-US"/>
        </w:rPr>
        <w:t xml:space="preserve">., </w:t>
      </w:r>
      <w:r w:rsidRPr="006207BE">
        <w:rPr>
          <w:rFonts w:eastAsia="Times New Roman" w:cs="Times New Roman"/>
        </w:rPr>
        <w:t>σ</w:t>
      </w:r>
      <w:r w:rsidRPr="006207BE">
        <w:rPr>
          <w:rFonts w:eastAsia="Times New Roman" w:cs="Times New Roman"/>
          <w:lang w:val="en-US"/>
        </w:rPr>
        <w:t>. 60.</w:t>
      </w:r>
    </w:p>
  </w:footnote>
  <w:footnote w:id="18">
    <w:p w:rsidR="00346644" w:rsidRPr="006207BE" w:rsidRDefault="00346644" w:rsidP="0047070B">
      <w:pPr>
        <w:pStyle w:val="FootnoteText"/>
        <w:jc w:val="both"/>
      </w:pPr>
      <w:r w:rsidRPr="006207BE">
        <w:rPr>
          <w:rStyle w:val="FootnoteReference"/>
        </w:rPr>
        <w:footnoteRef/>
      </w:r>
      <w:r w:rsidRPr="006207BE">
        <w:t xml:space="preserve"> </w:t>
      </w:r>
      <w:r w:rsidRPr="006207BE">
        <w:rPr>
          <w:rFonts w:eastAsia="Times New Roman" w:cs="Times New Roman"/>
        </w:rPr>
        <w:t>«εξομοιώνεται με την ημεδαπή, προσωρινά εκτελεστή, ερήμην απόφαση της διαγνωστικής διαδικασίας» Ποδηματά, Η Ευρωπαϊκή Διαταγή Πληρωμής έκδ 2011, σ. 65.</w:t>
      </w:r>
    </w:p>
  </w:footnote>
  <w:footnote w:id="19">
    <w:p w:rsidR="00346644" w:rsidRPr="006207BE" w:rsidRDefault="00346644" w:rsidP="0047070B">
      <w:pPr>
        <w:spacing w:after="0" w:line="240" w:lineRule="auto"/>
        <w:jc w:val="both"/>
        <w:rPr>
          <w:sz w:val="20"/>
          <w:szCs w:val="20"/>
        </w:rPr>
      </w:pPr>
      <w:r w:rsidRPr="006207BE">
        <w:rPr>
          <w:rStyle w:val="FootnoteReference"/>
          <w:sz w:val="20"/>
          <w:szCs w:val="20"/>
        </w:rPr>
        <w:footnoteRef/>
      </w:r>
      <w:r w:rsidRPr="006207BE">
        <w:rPr>
          <w:sz w:val="20"/>
          <w:szCs w:val="20"/>
        </w:rPr>
        <w:t xml:space="preserve"> </w:t>
      </w:r>
      <w:r w:rsidRPr="006207BE">
        <w:rPr>
          <w:rFonts w:eastAsia="Times New Roman" w:cs="Times New Roman"/>
          <w:sz w:val="20"/>
          <w:szCs w:val="20"/>
        </w:rPr>
        <w:t xml:space="preserve">Ανάλογα με τις προϋποθέσεις, που απαιτούνται για την έκδοση διαταγής πληρωμής τα ευρωπαϊκά δίκαια, μπορούν να καταταχθούν σε δύο κατηγορίες: σε αυτά, που ακολουθούν την αρχή της «απόδειξης» και σε αυτά, που ακολουθούν την αρχή της «μη απόδειξης». Ενώ ως προς όσα απαιτούνται σχετικά με το περιεχόμενο του δικογράφου των αντιρρήσεων, αυτά διακρίνονται και πάλι σε δύο βασικές κατηγορίες: σε αυτά που ακολουθούν την αρχή της «αναιτιολόγητης ανακοπής» και σε αυτά, που ακολουθούν την αρχή της «αιτιολογημένης ανακοπής». Ειδικότερα, από τον συνδυασμό των αρχών της «μη απόδειξης» και «αναιτιολόγητης ανακοπής» (καθώς τα δίκαια, που ακολουθούν την αρχή της μη απόδειξης ακολουθούν και την αρχή της αναιτιολόγητης ανακοπής) δημιουργείται ένα «δικαιικό σύστημα», θα μπορούσε να ειπωθεί, που ακολουθείται από χώρες, όπως η Γερμανία, Αυστρία, Φιλανδία, Πορτογαλία. Κατά τα βασικά του χαρακτηριστικά των δικαίων αυτών ο αιτών τη διαταγή πληρωμής δηλώνει, ότι κατέχει (μπορεί σε δίκη, που τυχόν ακολουθήσει, να προσκομίσει) έγγραφα και η διαταγή εκδίδεται χωρίς να λαμβάνει χώρα εξέταση της ουσιαστικής βασιμότητας, συνήθως από δικαστικούς γραμματείς, όργανα εκτέλεσης ή άλλους κρατικούς υπαλλήλους. Ενώ για την άσκηση αντιρρήσεων απαιτούνται ελάχιστες αναγκαίες προϋποθέσεις ως προς το περιεχόμενο του δικογράφου και αρκεί απλά η μόνη δήλωση του καθ ου η διαταγή, ότι αμφισβητεί την απαίτηση. Με την υποβολή των αντιρρήσεων (αρκεί η κατάθεση του σχετικού δικογράφου) παύει αυτόματα η ισχύς της διαταγής πληρωμής. Η δίκη, που ακολουθεί, έχει ως αντικείμενο την διάγνωση της βασιμότητας της απαιτήσεως και επέχει η σχετική αίτηση για την έκδοση της διαταγής χαρακτήρα εισαγωγικού δικογράφου, συμπληρωμένου θεμιτά και με τους ισχυρισμούς, που προβάλλει ο αιτών με ξεχωριστό δικόγραφο. Από τον συνδυασμό των αρχών της «απόδειξης» και της «αιτιολογημένης ανακοπής», δημιουργείται ένα διαφορετικό σύστημα, που ακολουθούν χώρες, όπως η Γαλλία, Ισπανία, Ελλάδα, Βέλγιο Λουξεμβούργο. Κατά τα βασικά χαρακτηριστικά των δικαίων αυτών η διαταγή πληρωμής εκδίδεται μετά από έλεγχο για την ύπαρξη της απαίτησης και ο αιτών υποχρεούται να επικαλεστεί και να προσκομίσει τα έγγραφα, που αποδεικνύουν αυτή. Το δικόγραφο των αντιρρήσεων χαρακτηρίζεται ανακοπή και πρέπει να περιλαμβάνει συγκεκριμένους λόγους και αίτημα ακύρωσης της διαταγής, η ισχύς της οποίας δεν παύει μόνο με την άσκηση (κατάθεση και επίδοση του δικογράφου), καθώς ακολουθεί ακυρωτική δίκη, που έχει σαν αντικείμενο την ακύρωση της διαταγής με βάση τους προβαλλόμενους λόγους, εγγ. </w:t>
      </w:r>
      <w:r w:rsidRPr="006207BE">
        <w:rPr>
          <w:rFonts w:cs="Times New Roman"/>
          <w:sz w:val="20"/>
          <w:szCs w:val="20"/>
        </w:rPr>
        <w:t>Ποδηματά, ό.π., σ 63-64, δικαιοσυγκριτική παρουσίαση Οικονομόπουλου ΣχΠολΔ Ι</w:t>
      </w:r>
      <w:r w:rsidRPr="006207BE">
        <w:rPr>
          <w:rFonts w:cs="Times New Roman"/>
          <w:sz w:val="20"/>
          <w:szCs w:val="20"/>
          <w:lang w:val="en-US"/>
        </w:rPr>
        <w:t>V</w:t>
      </w:r>
      <w:r w:rsidRPr="006207BE">
        <w:rPr>
          <w:rFonts w:cs="Times New Roman"/>
          <w:sz w:val="20"/>
          <w:szCs w:val="20"/>
        </w:rPr>
        <w:t xml:space="preserve"> σελ 226).</w:t>
      </w:r>
    </w:p>
  </w:footnote>
  <w:footnote w:id="20">
    <w:p w:rsidR="00346644" w:rsidRPr="006207BE" w:rsidRDefault="00346644" w:rsidP="0047070B">
      <w:pPr>
        <w:pStyle w:val="FootnoteText"/>
        <w:jc w:val="both"/>
      </w:pPr>
      <w:r w:rsidRPr="006207BE">
        <w:rPr>
          <w:rStyle w:val="FootnoteReference"/>
        </w:rPr>
        <w:footnoteRef/>
      </w:r>
      <w:r w:rsidRPr="006207BE">
        <w:t xml:space="preserve"> </w:t>
      </w:r>
      <w:r w:rsidRPr="006207BE">
        <w:rPr>
          <w:rFonts w:cs="Times New Roman"/>
        </w:rPr>
        <w:t>Πράσινο Βιβλίο, ό.π., σ. 23.</w:t>
      </w:r>
      <w:r w:rsidRPr="006207BE">
        <w:t xml:space="preserve">    </w:t>
      </w:r>
    </w:p>
  </w:footnote>
  <w:footnote w:id="21">
    <w:p w:rsidR="00346644" w:rsidRPr="006207BE" w:rsidRDefault="00346644" w:rsidP="00C9797E">
      <w:pPr>
        <w:pStyle w:val="FootnoteText"/>
        <w:jc w:val="both"/>
        <w:rPr>
          <w:rFonts w:cs="Times New Roman"/>
        </w:rPr>
      </w:pPr>
      <w:r w:rsidRPr="006207BE">
        <w:rPr>
          <w:rStyle w:val="FootnoteReference"/>
          <w:rFonts w:cs="Times New Roman"/>
        </w:rPr>
        <w:footnoteRef/>
      </w:r>
      <w:r w:rsidRPr="006207BE">
        <w:rPr>
          <w:rFonts w:cs="Times New Roman"/>
        </w:rPr>
        <w:t xml:space="preserve"> η περίπτωση του Ηνωμένου Βασιλείου, ενόψει του επικείμενου </w:t>
      </w:r>
      <w:r w:rsidRPr="006207BE">
        <w:rPr>
          <w:rFonts w:cs="Times New Roman"/>
          <w:lang w:val="en-US"/>
        </w:rPr>
        <w:t>Brexit</w:t>
      </w:r>
      <w:r w:rsidRPr="006207BE">
        <w:rPr>
          <w:rFonts w:cs="Times New Roman"/>
        </w:rPr>
        <w:t xml:space="preserve"> , δεν εξετάζεται.</w:t>
      </w:r>
    </w:p>
  </w:footnote>
  <w:footnote w:id="22">
    <w:p w:rsidR="00346644" w:rsidRPr="006207BE" w:rsidRDefault="00346644" w:rsidP="00C9797E">
      <w:pPr>
        <w:pStyle w:val="FootnoteText"/>
      </w:pPr>
      <w:r w:rsidRPr="006207BE">
        <w:rPr>
          <w:rStyle w:val="FootnoteReference"/>
        </w:rPr>
        <w:footnoteRef/>
      </w:r>
      <w:r w:rsidRPr="006207BE">
        <w:t xml:space="preserve"> </w:t>
      </w:r>
      <w:r w:rsidRPr="006207BE">
        <w:rPr>
          <w:rFonts w:cs="Times New Roman"/>
        </w:rPr>
        <w:t>κατ΄αλφαβητική σειρά.</w:t>
      </w:r>
    </w:p>
  </w:footnote>
  <w:footnote w:id="23">
    <w:p w:rsidR="00346644" w:rsidRPr="006207BE" w:rsidRDefault="00346644" w:rsidP="0047070B">
      <w:pPr>
        <w:pStyle w:val="FootnoteText"/>
        <w:jc w:val="both"/>
        <w:rPr>
          <w:rFonts w:cs="Times New Roman"/>
          <w:lang w:val="en-US"/>
        </w:rPr>
      </w:pPr>
      <w:r w:rsidRPr="006207BE">
        <w:rPr>
          <w:rStyle w:val="FootnoteReference"/>
        </w:rPr>
        <w:footnoteRef/>
      </w:r>
      <w:r w:rsidRPr="006207BE">
        <w:t xml:space="preserve"> </w:t>
      </w:r>
      <w:r w:rsidRPr="006207BE">
        <w:rPr>
          <w:rFonts w:cs="Times New Roman"/>
        </w:rPr>
        <w:t>Το Δίκαιο της Βουλγαρίας δεν προβλέπει ειδικές διατάξεις για την εκκαθάριση ήσσσονος αξίας διαφορών (</w:t>
      </w:r>
      <w:hyperlink r:id="rId7" w:history="1">
        <w:r w:rsidRPr="006207BE">
          <w:rPr>
            <w:rStyle w:val="Hyperlink"/>
            <w:rFonts w:cs="Times New Roman"/>
          </w:rPr>
          <w:t>https://e-justice.europa.eu/content_small_claims-42-bg-el.do?member=1</w:t>
        </w:r>
      </w:hyperlink>
      <w:r w:rsidRPr="006207BE">
        <w:rPr>
          <w:rFonts w:cs="Times New Roman"/>
        </w:rPr>
        <w:t>, με ημ. προσβ. 17.8.2019), η είσπραξη των οποίων λαμβάνει, χώρα, αποκλειστικά με τη διαδικασία «διαταγής πληρωμής» για «μη αμφισβητούμενες αξιώσεις», όπως προβλέπεται στο 37</w:t>
      </w:r>
      <w:r w:rsidRPr="006207BE">
        <w:rPr>
          <w:rFonts w:cs="Times New Roman"/>
          <w:vertAlign w:val="superscript"/>
        </w:rPr>
        <w:t>ο</w:t>
      </w:r>
      <w:r w:rsidRPr="006207BE">
        <w:rPr>
          <w:rFonts w:cs="Times New Roman"/>
        </w:rPr>
        <w:t xml:space="preserve"> Κεφάλαιο του ΒουλγΚΠολΔ (διαθ. εδώ: </w:t>
      </w:r>
      <w:hyperlink r:id="rId8" w:history="1">
        <w:r w:rsidRPr="006207BE">
          <w:rPr>
            <w:rStyle w:val="Hyperlink"/>
            <w:rFonts w:cs="Times New Roman"/>
          </w:rPr>
          <w:t>http://www.legislationline.org/documents/action/popup/id/6203</w:t>
        </w:r>
      </w:hyperlink>
      <w:r w:rsidRPr="006207BE">
        <w:rPr>
          <w:rFonts w:cs="Times New Roman"/>
        </w:rPr>
        <w:t xml:space="preserve">, με ημ. προσβ. </w:t>
      </w:r>
      <w:r w:rsidRPr="006207BE">
        <w:rPr>
          <w:rFonts w:cs="Times New Roman"/>
          <w:lang w:val="en-US"/>
        </w:rPr>
        <w:t xml:space="preserve">17.8.2019), </w:t>
      </w:r>
      <w:r w:rsidRPr="006207BE">
        <w:rPr>
          <w:rFonts w:cs="Times New Roman"/>
        </w:rPr>
        <w:t>εγγ</w:t>
      </w:r>
      <w:r w:rsidRPr="006207BE">
        <w:rPr>
          <w:rFonts w:cs="Times New Roman"/>
          <w:lang w:val="en-US"/>
        </w:rPr>
        <w:t xml:space="preserve">. Popova v., «Order for Payment Proceedings in bulgarian Civil Procedure Law»,  Civil Procedure Review, v.2. 2011, </w:t>
      </w:r>
      <w:r w:rsidRPr="006207BE">
        <w:rPr>
          <w:rFonts w:cs="Times New Roman"/>
        </w:rPr>
        <w:t>σ</w:t>
      </w:r>
      <w:r w:rsidRPr="006207BE">
        <w:rPr>
          <w:rFonts w:cs="Times New Roman"/>
          <w:lang w:val="en-US"/>
        </w:rPr>
        <w:t xml:space="preserve">. 17 – 97.  </w:t>
      </w:r>
    </w:p>
  </w:footnote>
  <w:footnote w:id="24">
    <w:p w:rsidR="00346644" w:rsidRPr="006207BE" w:rsidRDefault="00346644">
      <w:pPr>
        <w:pStyle w:val="FootnoteText"/>
      </w:pPr>
      <w:r w:rsidRPr="006207BE">
        <w:rPr>
          <w:rStyle w:val="FootnoteReference"/>
        </w:rPr>
        <w:footnoteRef/>
      </w:r>
      <w:r w:rsidRPr="006207BE">
        <w:t xml:space="preserve"> </w:t>
      </w:r>
      <w:r w:rsidRPr="006207BE">
        <w:rPr>
          <w:rFonts w:cs="Times New Roman"/>
        </w:rPr>
        <w:t>Πράσινο Βιβλίο, ό.π., σ. 57.</w:t>
      </w:r>
    </w:p>
  </w:footnote>
  <w:footnote w:id="25">
    <w:p w:rsidR="00346644" w:rsidRPr="006207BE" w:rsidRDefault="00346644" w:rsidP="009144ED">
      <w:pPr>
        <w:pStyle w:val="FootnoteText"/>
        <w:jc w:val="both"/>
        <w:rPr>
          <w:rFonts w:cs="Times New Roman"/>
        </w:rPr>
      </w:pPr>
      <w:r w:rsidRPr="006207BE">
        <w:rPr>
          <w:rStyle w:val="FootnoteReference"/>
          <w:rFonts w:cs="Times New Roman"/>
        </w:rPr>
        <w:footnoteRef/>
      </w:r>
      <w:r w:rsidRPr="006207BE">
        <w:rPr>
          <w:rFonts w:cs="Times New Roman"/>
        </w:rPr>
        <w:t xml:space="preserve"> δεν υφίστανται μικροδιαφορές ούτε διαδικασία διαταγής πληρωμής, </w:t>
      </w:r>
      <w:hyperlink r:id="rId9" w:history="1">
        <w:r w:rsidRPr="006207BE">
          <w:rPr>
            <w:rStyle w:val="Hyperlink"/>
            <w:rFonts w:cs="Times New Roman"/>
          </w:rPr>
          <w:t>https://e-justice.europa.eu/content_small_claims-42-cy-el.do?init=true&amp;member=1</w:t>
        </w:r>
      </w:hyperlink>
      <w:r w:rsidRPr="006207BE">
        <w:rPr>
          <w:rFonts w:cs="Times New Roman"/>
        </w:rPr>
        <w:t xml:space="preserve">, και </w:t>
      </w:r>
      <w:hyperlink r:id="rId10" w:history="1">
        <w:r w:rsidRPr="006207BE">
          <w:rPr>
            <w:rStyle w:val="Hyperlink"/>
            <w:rFonts w:cs="Times New Roman"/>
          </w:rPr>
          <w:t>https://e-justice.europa.eu/content_order_for_payment_procedures-41-cy-el.do?member=1</w:t>
        </w:r>
      </w:hyperlink>
      <w:r w:rsidRPr="006207BE">
        <w:rPr>
          <w:rFonts w:cs="Times New Roman"/>
        </w:rPr>
        <w:t>, με ημ. προσβ. 17.8.2019.</w:t>
      </w:r>
    </w:p>
  </w:footnote>
  <w:footnote w:id="26">
    <w:p w:rsidR="00346644" w:rsidRPr="006207BE" w:rsidRDefault="00346644" w:rsidP="00F630CE">
      <w:pPr>
        <w:pStyle w:val="FootnoteText"/>
        <w:jc w:val="both"/>
      </w:pPr>
      <w:r w:rsidRPr="006207BE">
        <w:rPr>
          <w:rStyle w:val="FootnoteReference"/>
        </w:rPr>
        <w:footnoteRef/>
      </w:r>
      <w:r w:rsidRPr="006207BE">
        <w:t xml:space="preserve"> Δεν υφίσταται συγκεκριμένη διαδικασία μικροδιαφορών, πλην, </w:t>
      </w:r>
      <w:r w:rsidRPr="006207BE">
        <w:rPr>
          <w:rFonts w:cs="Times New Roman"/>
        </w:rPr>
        <w:t xml:space="preserve">δεν υπάρχει η δυνατότητα έφεσης κατά απόφασης μικρότερης αξίας των 10.000 CZH </w:t>
      </w:r>
      <w:r w:rsidRPr="006207BE">
        <w:footnoteRef/>
      </w:r>
      <w:r w:rsidRPr="006207BE">
        <w:rPr>
          <w:rFonts w:cs="Times New Roman"/>
        </w:rPr>
        <w:t xml:space="preserve">, </w:t>
      </w:r>
      <w:r w:rsidRPr="006207BE">
        <w:rPr>
          <w:bCs/>
        </w:rPr>
        <w:t>κατά το αρ. 200 παρ. 2</w:t>
      </w:r>
      <w:r w:rsidRPr="006207BE">
        <w:rPr>
          <w:b/>
          <w:bCs/>
        </w:rPr>
        <w:t xml:space="preserve"> </w:t>
      </w:r>
      <w:r w:rsidRPr="006207BE">
        <w:rPr>
          <w:bCs/>
        </w:rPr>
        <w:t xml:space="preserve">ΤσεχΚΠολΔ, </w:t>
      </w:r>
      <w:r w:rsidRPr="006207BE">
        <w:rPr>
          <w:rFonts w:cs="Times New Roman"/>
        </w:rPr>
        <w:t>διαθ. στην αγγλική εδώ:</w:t>
      </w:r>
      <w:hyperlink r:id="rId11" w:history="1">
        <w:r w:rsidRPr="006207BE">
          <w:rPr>
            <w:rFonts w:cs="Times New Roman"/>
          </w:rPr>
          <w:t>https://is.muni.cz/el/1422/jaro2008/SOC026/um/99-1963_EN.pdf</w:t>
        </w:r>
      </w:hyperlink>
      <w:r w:rsidRPr="006207BE">
        <w:rPr>
          <w:rFonts w:cs="Times New Roman"/>
        </w:rPr>
        <w:t>, με ημ. προσβ. 17.8.2019,ενώ, είναι δυνατή η έκδοση «διαταγής πληρωμής», κατά τα αρ. 172 – 175 ΤσεχΚΠολΔ(</w:t>
      </w:r>
      <w:hyperlink r:id="rId12" w:history="1">
        <w:r w:rsidRPr="006207BE">
          <w:rPr>
            <w:rFonts w:cs="Times New Roman"/>
          </w:rPr>
          <w:t>https://e-justice.europa.eu/content_order_for_payment_procedures-41-cz-el.do?member=1</w:t>
        </w:r>
      </w:hyperlink>
      <w:r w:rsidRPr="006207BE">
        <w:rPr>
          <w:rFonts w:cs="Times New Roman"/>
        </w:rPr>
        <w:t>, με ημ. προσβ. 17.8.2019.</w:t>
      </w:r>
    </w:p>
  </w:footnote>
  <w:footnote w:id="27">
    <w:p w:rsidR="00346644" w:rsidRPr="006207BE" w:rsidRDefault="00346644" w:rsidP="009A20CD">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 xml:space="preserve">η προηγούμενη προσφυγή σε εξωδικαστικές διαδικασίες επίλυσης των διαφορών είναι υποχρεωτική στην περίπτωση εργατικών διαφορών ή διαφορών από αγροτική μίσθωση, ενώ, ισχύει και η αυτεπάγγελτη δυνατότητα του Δικαστή να διατάξει τη διαμεσολάβηση της διαφοράς, Πράσινο Βιβλίο, ό.π., σ. 61. </w:t>
      </w:r>
      <w:r w:rsidRPr="006207BE">
        <w:t xml:space="preserve"> </w:t>
      </w:r>
    </w:p>
  </w:footnote>
  <w:footnote w:id="28">
    <w:p w:rsidR="00346644" w:rsidRPr="006207BE" w:rsidRDefault="00346644" w:rsidP="00C9797E">
      <w:pPr>
        <w:pStyle w:val="FootnoteText"/>
        <w:jc w:val="both"/>
        <w:rPr>
          <w:rFonts w:cs="Times New Roman"/>
          <w:lang w:val="en-US"/>
        </w:rPr>
      </w:pPr>
      <w:r w:rsidRPr="006207BE">
        <w:rPr>
          <w:rStyle w:val="FootnoteReference"/>
        </w:rPr>
        <w:footnoteRef/>
      </w:r>
      <w:r w:rsidRPr="006207BE">
        <w:rPr>
          <w:rFonts w:cs="Times New Roman"/>
          <w:color w:val="333333"/>
          <w:shd w:val="clear" w:color="auto" w:fill="FFFFFF"/>
          <w:lang w:val="en-US"/>
        </w:rPr>
        <w:t xml:space="preserve"> « d’injonction de payer», </w:t>
      </w:r>
      <w:r w:rsidRPr="006207BE">
        <w:rPr>
          <w:rFonts w:cs="Times New Roman"/>
          <w:color w:val="333333"/>
          <w:shd w:val="clear" w:color="auto" w:fill="FFFFFF"/>
        </w:rPr>
        <w:t>εγγ</w:t>
      </w:r>
      <w:r w:rsidRPr="006207BE">
        <w:rPr>
          <w:rFonts w:cs="Times New Roman"/>
          <w:color w:val="333333"/>
          <w:shd w:val="clear" w:color="auto" w:fill="FFFFFF"/>
          <w:lang w:val="en-US"/>
        </w:rPr>
        <w:t xml:space="preserve">. J. Bette, «Un mode de récupération de créance simple, rapide et peu onéreux: la procédure sommaire d’injonction de payer», Cahier du Juriste 8.1996,  G. ClossetMarchal, «La procédure sommaire d’injonction de payer: un nouvel essor?», Tijdschrift voor Vrederechters 35.1988, </w:t>
      </w:r>
      <w:r w:rsidRPr="006207BE">
        <w:rPr>
          <w:rFonts w:cs="Times New Roman"/>
          <w:color w:val="333333"/>
          <w:shd w:val="clear" w:color="auto" w:fill="FFFFFF"/>
        </w:rPr>
        <w:t>και</w:t>
      </w:r>
      <w:r w:rsidRPr="006207BE">
        <w:rPr>
          <w:rFonts w:cs="Times New Roman"/>
          <w:color w:val="333333"/>
          <w:shd w:val="clear" w:color="auto" w:fill="FFFFFF"/>
          <w:lang w:val="en-US"/>
        </w:rPr>
        <w:t xml:space="preserve"> </w:t>
      </w:r>
      <w:r w:rsidRPr="006207BE">
        <w:rPr>
          <w:rFonts w:cs="Times New Roman"/>
          <w:color w:val="333333"/>
          <w:shd w:val="clear" w:color="auto" w:fill="FFFFFF"/>
        </w:rPr>
        <w:t>από</w:t>
      </w:r>
      <w:r w:rsidRPr="006207BE">
        <w:rPr>
          <w:rFonts w:cs="Times New Roman"/>
          <w:color w:val="333333"/>
          <w:shd w:val="clear" w:color="auto" w:fill="FFFFFF"/>
          <w:lang w:val="en-US"/>
        </w:rPr>
        <w:t xml:space="preserve"> </w:t>
      </w:r>
      <w:r w:rsidRPr="006207BE">
        <w:rPr>
          <w:rFonts w:cs="Times New Roman"/>
          <w:color w:val="333333"/>
          <w:shd w:val="clear" w:color="auto" w:fill="FFFFFF"/>
        </w:rPr>
        <w:t>την</w:t>
      </w:r>
      <w:r w:rsidRPr="006207BE">
        <w:rPr>
          <w:rFonts w:cs="Times New Roman"/>
          <w:color w:val="333333"/>
          <w:shd w:val="clear" w:color="auto" w:fill="FFFFFF"/>
          <w:lang w:val="en-US"/>
        </w:rPr>
        <w:t xml:space="preserve"> </w:t>
      </w:r>
      <w:r w:rsidRPr="006207BE">
        <w:rPr>
          <w:rFonts w:cs="Times New Roman"/>
          <w:color w:val="333333"/>
          <w:shd w:val="clear" w:color="auto" w:fill="FFFFFF"/>
        </w:rPr>
        <w:t>αγγλική</w:t>
      </w:r>
      <w:r w:rsidRPr="006207BE">
        <w:rPr>
          <w:rFonts w:cs="Times New Roman"/>
          <w:color w:val="333333"/>
          <w:shd w:val="clear" w:color="auto" w:fill="FFFFFF"/>
          <w:lang w:val="en-US"/>
        </w:rPr>
        <w:t xml:space="preserve"> </w:t>
      </w:r>
      <w:r w:rsidRPr="006207BE">
        <w:rPr>
          <w:rFonts w:cs="Times New Roman"/>
          <w:color w:val="333333"/>
          <w:shd w:val="clear" w:color="auto" w:fill="FFFFFF"/>
        </w:rPr>
        <w:t>βιβλιογραφία</w:t>
      </w:r>
      <w:r w:rsidRPr="006207BE">
        <w:rPr>
          <w:rFonts w:cs="Times New Roman"/>
          <w:color w:val="333333"/>
          <w:shd w:val="clear" w:color="auto" w:fill="FFFFFF"/>
          <w:lang w:val="en-US"/>
        </w:rPr>
        <w:t>,  Orders for payment in the European Union, 2001.91, S. Voet, «Relief in small matters in Belgium”, Erasmus Law Review, 2015.</w:t>
      </w:r>
    </w:p>
  </w:footnote>
  <w:footnote w:id="29">
    <w:p w:rsidR="00346644" w:rsidRPr="006207BE" w:rsidRDefault="00346644" w:rsidP="00C9797E">
      <w:pPr>
        <w:pStyle w:val="FootnoteText"/>
        <w:rPr>
          <w:rStyle w:val="FootnoteReference"/>
        </w:rPr>
      </w:pPr>
      <w:r w:rsidRPr="006207BE">
        <w:rPr>
          <w:rStyle w:val="FootnoteReference"/>
          <w:rFonts w:cs="Times New Roman"/>
        </w:rPr>
        <w:footnoteRef/>
      </w:r>
      <w:r w:rsidRPr="006207BE">
        <w:rPr>
          <w:rFonts w:cs="Times New Roman"/>
        </w:rPr>
        <w:t xml:space="preserve"> ο περιορισμός στο ποσό δεν ισχύει για εμπορικές απαιτήσεις, αρμοδιότητας Εμποροδικείου, κατά το αρ. 9 Νόμου 26</w:t>
      </w:r>
      <w:r w:rsidRPr="006207BE">
        <w:rPr>
          <w:rFonts w:cs="Times New Roman"/>
          <w:vertAlign w:val="superscript"/>
        </w:rPr>
        <w:t>ης</w:t>
      </w:r>
      <w:r w:rsidRPr="006207BE">
        <w:rPr>
          <w:rFonts w:cs="Times New Roman"/>
        </w:rPr>
        <w:t xml:space="preserve"> Μαρτίου 2014, Official Gazette of Belgium 22 May 2014.40635.</w:t>
      </w:r>
    </w:p>
  </w:footnote>
  <w:footnote w:id="30">
    <w:p w:rsidR="00346644" w:rsidRPr="006207BE" w:rsidRDefault="00346644" w:rsidP="00C9797E">
      <w:pPr>
        <w:pStyle w:val="FootnoteText"/>
        <w:jc w:val="both"/>
        <w:rPr>
          <w:rFonts w:cs="Times New Roman"/>
        </w:rPr>
      </w:pPr>
      <w:r w:rsidRPr="006207BE">
        <w:rPr>
          <w:rStyle w:val="FootnoteReference"/>
        </w:rPr>
        <w:footnoteRef/>
      </w:r>
      <w:r w:rsidRPr="006207BE">
        <w:rPr>
          <w:rFonts w:cs="Times New Roman"/>
        </w:rPr>
        <w:t xml:space="preserve"> «Juge de paiz», ειδικότερα, κατά τα αρ. 590 και 591 Κεφαλαίου ΙΙΙ του Code Judiciare το Ειρηνοδικείο είναι αρμόδιο για χρηματικές διαφορές έως του ποσού των 5.000,00 ευρώ, καθώς, και για τις μισθωτικές διαφορές, διαφορές οροφοκτησίας, γειτονικού Δικαίου, αγροτοζημίες, διαφορές από πώληση ζώων, πιστωτικές και από την παροχή υπηρεσιών κοινής ωφέλειας κοκ.</w:t>
      </w:r>
    </w:p>
  </w:footnote>
  <w:footnote w:id="31">
    <w:p w:rsidR="00346644" w:rsidRPr="006207BE" w:rsidRDefault="00346644" w:rsidP="00C9797E">
      <w:pPr>
        <w:pStyle w:val="FootnoteText"/>
        <w:jc w:val="both"/>
        <w:rPr>
          <w:rFonts w:cs="Times New Roman"/>
        </w:rPr>
      </w:pPr>
      <w:r w:rsidRPr="006207BE">
        <w:rPr>
          <w:rStyle w:val="FootnoteReference"/>
          <w:rFonts w:cs="Times New Roman"/>
        </w:rPr>
        <w:footnoteRef/>
      </w:r>
      <w:r w:rsidRPr="006207BE">
        <w:rPr>
          <w:rFonts w:cs="Times New Roman"/>
        </w:rPr>
        <w:t xml:space="preserve"> </w:t>
      </w:r>
      <w:r w:rsidRPr="006207BE">
        <w:rPr>
          <w:rFonts w:cs="Times New Roman"/>
          <w:lang w:val="en-US"/>
        </w:rPr>
        <w:t>Code</w:t>
      </w:r>
      <w:r w:rsidRPr="006207BE">
        <w:rPr>
          <w:rFonts w:cs="Times New Roman"/>
        </w:rPr>
        <w:t xml:space="preserve"> </w:t>
      </w:r>
      <w:r w:rsidRPr="006207BE">
        <w:rPr>
          <w:rFonts w:cs="Times New Roman"/>
          <w:lang w:val="en-US"/>
        </w:rPr>
        <w:t>Judiciaire</w:t>
      </w:r>
      <w:r w:rsidRPr="006207BE">
        <w:rPr>
          <w:rFonts w:cs="Times New Roman"/>
        </w:rPr>
        <w:t xml:space="preserve">, διαθ. εδώ: </w:t>
      </w:r>
      <w:hyperlink r:id="rId13" w:anchor="jud" w:history="1">
        <w:r w:rsidRPr="006207BE">
          <w:rPr>
            <w:rStyle w:val="Hyperlink"/>
            <w:rFonts w:cs="Times New Roman"/>
            <w:lang w:val="en-US"/>
          </w:rPr>
          <w:t>http</w:t>
        </w:r>
        <w:r w:rsidRPr="006207BE">
          <w:rPr>
            <w:rStyle w:val="Hyperlink"/>
            <w:rFonts w:cs="Times New Roman"/>
          </w:rPr>
          <w:t>://</w:t>
        </w:r>
        <w:r w:rsidRPr="006207BE">
          <w:rPr>
            <w:rStyle w:val="Hyperlink"/>
            <w:rFonts w:cs="Times New Roman"/>
            <w:lang w:val="en-US"/>
          </w:rPr>
          <w:t>www</w:t>
        </w:r>
        <w:r w:rsidRPr="006207BE">
          <w:rPr>
            <w:rStyle w:val="Hyperlink"/>
            <w:rFonts w:cs="Times New Roman"/>
          </w:rPr>
          <w:t>.</w:t>
        </w:r>
        <w:r w:rsidRPr="006207BE">
          <w:rPr>
            <w:rStyle w:val="Hyperlink"/>
            <w:rFonts w:cs="Times New Roman"/>
            <w:lang w:val="en-US"/>
          </w:rPr>
          <w:t>droitbelge</w:t>
        </w:r>
        <w:r w:rsidRPr="006207BE">
          <w:rPr>
            <w:rStyle w:val="Hyperlink"/>
            <w:rFonts w:cs="Times New Roman"/>
          </w:rPr>
          <w:t>.</w:t>
        </w:r>
        <w:r w:rsidRPr="006207BE">
          <w:rPr>
            <w:rStyle w:val="Hyperlink"/>
            <w:rFonts w:cs="Times New Roman"/>
            <w:lang w:val="en-US"/>
          </w:rPr>
          <w:t>be</w:t>
        </w:r>
        <w:r w:rsidRPr="006207BE">
          <w:rPr>
            <w:rStyle w:val="Hyperlink"/>
            <w:rFonts w:cs="Times New Roman"/>
          </w:rPr>
          <w:t>/</w:t>
        </w:r>
        <w:r w:rsidRPr="006207BE">
          <w:rPr>
            <w:rStyle w:val="Hyperlink"/>
            <w:rFonts w:cs="Times New Roman"/>
            <w:lang w:val="en-US"/>
          </w:rPr>
          <w:t>codes</w:t>
        </w:r>
        <w:r w:rsidRPr="006207BE">
          <w:rPr>
            <w:rStyle w:val="Hyperlink"/>
            <w:rFonts w:cs="Times New Roman"/>
          </w:rPr>
          <w:t>.</w:t>
        </w:r>
        <w:r w:rsidRPr="006207BE">
          <w:rPr>
            <w:rStyle w:val="Hyperlink"/>
            <w:rFonts w:cs="Times New Roman"/>
            <w:lang w:val="en-US"/>
          </w:rPr>
          <w:t>asp</w:t>
        </w:r>
        <w:r w:rsidRPr="006207BE">
          <w:rPr>
            <w:rStyle w:val="Hyperlink"/>
            <w:rFonts w:cs="Times New Roman"/>
          </w:rPr>
          <w:t>#</w:t>
        </w:r>
        <w:r w:rsidRPr="006207BE">
          <w:rPr>
            <w:rStyle w:val="Hyperlink"/>
            <w:rFonts w:cs="Times New Roman"/>
            <w:lang w:val="en-US"/>
          </w:rPr>
          <w:t>jud</w:t>
        </w:r>
      </w:hyperlink>
      <w:r w:rsidRPr="006207BE">
        <w:rPr>
          <w:rFonts w:cs="Times New Roman"/>
        </w:rPr>
        <w:t xml:space="preserve">, με ημ. προσβ. 15.8.2019. </w:t>
      </w:r>
    </w:p>
  </w:footnote>
  <w:footnote w:id="32">
    <w:p w:rsidR="00346644" w:rsidRPr="006207BE" w:rsidRDefault="00346644" w:rsidP="00C9797E">
      <w:pPr>
        <w:pStyle w:val="FootnoteText"/>
        <w:jc w:val="both"/>
        <w:rPr>
          <w:rFonts w:cs="Times New Roman"/>
        </w:rPr>
      </w:pPr>
      <w:r w:rsidRPr="006207BE">
        <w:rPr>
          <w:rStyle w:val="FootnoteReference"/>
          <w:rFonts w:cs="Times New Roman"/>
        </w:rPr>
        <w:footnoteRef/>
      </w:r>
      <w:r w:rsidRPr="006207BE">
        <w:rPr>
          <w:rFonts w:cs="Times New Roman"/>
        </w:rPr>
        <w:t xml:space="preserve"> το έγγραφο πρέπει να έχει καταρτιστεί από τον οφειλέτη, κατά το αρ.  1338 ΒελγΔΚ, ενώ, η προϋπόθεση αυτή ερμηνεύεται ευρέως, για νομολογιακές παραπομπές βλ. </w:t>
      </w:r>
      <w:r w:rsidRPr="006207BE">
        <w:rPr>
          <w:rFonts w:cs="Times New Roman"/>
          <w:lang w:val="en-US"/>
        </w:rPr>
        <w:t>S</w:t>
      </w:r>
      <w:r w:rsidRPr="006207BE">
        <w:rPr>
          <w:rFonts w:cs="Times New Roman"/>
        </w:rPr>
        <w:t xml:space="preserve">. </w:t>
      </w:r>
      <w:r w:rsidRPr="006207BE">
        <w:rPr>
          <w:rFonts w:cs="Times New Roman"/>
          <w:lang w:val="en-US"/>
        </w:rPr>
        <w:t>Voet</w:t>
      </w:r>
      <w:r w:rsidRPr="006207BE">
        <w:rPr>
          <w:rFonts w:cs="Times New Roman"/>
        </w:rPr>
        <w:t xml:space="preserve">, ό.π., σ. 11. </w:t>
      </w:r>
    </w:p>
  </w:footnote>
  <w:footnote w:id="33">
    <w:p w:rsidR="00346644" w:rsidRPr="006207BE" w:rsidRDefault="00346644" w:rsidP="00C9797E">
      <w:pPr>
        <w:pStyle w:val="FootnoteText"/>
        <w:jc w:val="both"/>
        <w:rPr>
          <w:rFonts w:cs="Times New Roman"/>
        </w:rPr>
      </w:pPr>
      <w:r w:rsidRPr="006207BE">
        <w:rPr>
          <w:rStyle w:val="FootnoteReference"/>
          <w:rFonts w:cs="Times New Roman"/>
        </w:rPr>
        <w:footnoteRef/>
      </w:r>
      <w:r w:rsidRPr="006207BE">
        <w:rPr>
          <w:rFonts w:cs="Times New Roman"/>
        </w:rPr>
        <w:t xml:space="preserve"> υποχρεωτικά από πληρεξούσιο Δικηγόρο, </w:t>
      </w:r>
      <w:r w:rsidRPr="006207BE">
        <w:rPr>
          <w:rFonts w:cs="Times New Roman"/>
          <w:lang w:val="en-US"/>
        </w:rPr>
        <w:t>S</w:t>
      </w:r>
      <w:r w:rsidRPr="006207BE">
        <w:rPr>
          <w:rFonts w:cs="Times New Roman"/>
        </w:rPr>
        <w:t xml:space="preserve">. </w:t>
      </w:r>
      <w:r w:rsidRPr="006207BE">
        <w:rPr>
          <w:rFonts w:cs="Times New Roman"/>
          <w:lang w:val="en-US"/>
        </w:rPr>
        <w:t>Voet</w:t>
      </w:r>
      <w:r w:rsidRPr="006207BE">
        <w:rPr>
          <w:rFonts w:cs="Times New Roman"/>
        </w:rPr>
        <w:t>, ό.π., σ. 12.</w:t>
      </w:r>
    </w:p>
  </w:footnote>
  <w:footnote w:id="34">
    <w:p w:rsidR="00346644" w:rsidRPr="006207BE" w:rsidRDefault="00346644" w:rsidP="00C9797E">
      <w:pPr>
        <w:pStyle w:val="FootnoteText"/>
        <w:jc w:val="both"/>
        <w:rPr>
          <w:rFonts w:cs="Times New Roman"/>
        </w:rPr>
      </w:pPr>
      <w:r w:rsidRPr="006207BE">
        <w:rPr>
          <w:rStyle w:val="FootnoteReference"/>
          <w:rFonts w:cs="Times New Roman"/>
        </w:rPr>
        <w:footnoteRef/>
      </w:r>
      <w:r w:rsidRPr="006207BE">
        <w:rPr>
          <w:rFonts w:cs="Times New Roman"/>
        </w:rPr>
        <w:t xml:space="preserve"> αρ. 1340 ΒελγΔΚ.</w:t>
      </w:r>
    </w:p>
  </w:footnote>
  <w:footnote w:id="35">
    <w:p w:rsidR="00346644" w:rsidRPr="006207BE" w:rsidRDefault="00346644" w:rsidP="00C9797E">
      <w:pPr>
        <w:pStyle w:val="FootnoteText"/>
        <w:jc w:val="both"/>
        <w:rPr>
          <w:rFonts w:cs="Times New Roman"/>
        </w:rPr>
      </w:pPr>
      <w:r w:rsidRPr="006207BE">
        <w:rPr>
          <w:rStyle w:val="FootnoteReference"/>
        </w:rPr>
        <w:footnoteRef/>
      </w:r>
      <w:r w:rsidRPr="006207BE">
        <w:rPr>
          <w:rStyle w:val="FootnoteReference"/>
        </w:rPr>
        <w:t xml:space="preserve"> </w:t>
      </w:r>
      <w:r w:rsidRPr="006207BE">
        <w:rPr>
          <w:rFonts w:cs="Times New Roman"/>
        </w:rPr>
        <w:t>η διαταγή πληρωμής στο Βελγικό Δίκαιο εξομοοιώνεται με δικαστική απόφαση, κατά το αρ. 1343 παρ. 1 ΒελγΔΚ.</w:t>
      </w:r>
    </w:p>
  </w:footnote>
  <w:footnote w:id="36">
    <w:p w:rsidR="00346644" w:rsidRPr="006207BE" w:rsidRDefault="00346644" w:rsidP="00C9797E">
      <w:pPr>
        <w:pStyle w:val="FootnoteText"/>
        <w:jc w:val="both"/>
        <w:rPr>
          <w:rStyle w:val="FootnoteReference"/>
        </w:rPr>
      </w:pPr>
      <w:r w:rsidRPr="006207BE">
        <w:rPr>
          <w:rStyle w:val="FootnoteReference"/>
        </w:rPr>
        <w:footnoteRef/>
      </w:r>
      <w:r w:rsidRPr="006207BE">
        <w:rPr>
          <w:rFonts w:cs="Times New Roman"/>
        </w:rPr>
        <w:t xml:space="preserve"> η όλη διαδικασία της «διαταγής πληρωμής» χαρακτηρίζεται ως αμφίβολη αποτελεσματικότητας, ενόψει του περιορισμού στο ποσό της, την υποχρεωτική χρήση εγγράφου συντεταγμένου από τον οφειλέτη, καθώς, και την υποχρεωτική κατάθεσή της από πληρεξούσιο Δικηγόρο, S. Voet, ό.π., σ. 14 μ.π.π..</w:t>
      </w:r>
    </w:p>
  </w:footnote>
  <w:footnote w:id="37">
    <w:p w:rsidR="00346644" w:rsidRPr="006207BE" w:rsidRDefault="00346644" w:rsidP="00C9797E">
      <w:pPr>
        <w:pStyle w:val="FootnoteText"/>
        <w:jc w:val="both"/>
        <w:rPr>
          <w:rFonts w:cs="Times New Roman"/>
        </w:rPr>
      </w:pPr>
      <w:r w:rsidRPr="006207BE">
        <w:rPr>
          <w:rStyle w:val="FootnoteReference"/>
        </w:rPr>
        <w:footnoteRef/>
      </w:r>
      <w:r w:rsidRPr="006207BE">
        <w:rPr>
          <w:rFonts w:cs="Times New Roman"/>
        </w:rPr>
        <w:t xml:space="preserve"> Το ειρηνοδικείο (Juge de paix), κατά τα αρ. 1, 2 και 3 νΚΠολΔΛουξ είναι αρμόδιο για αστικές και εμπορικές υποθέσεις εώς το ποσό των 10.000,00 ευρώ, εκ των οποίων αποφασίζει ανέκκλητα για υποθέσεις έως το ποσό των 2.000,00 ευρώ, και, ανεξαρτήτως αξίας της διαφοράς, με ανέκκλητη κρίση έως το ποσό των 1.250,00 ευρώ, για αγροτοζημίες, μισθωτικές διαφορές, ζημίες σε κατοικίδια, κανονισμού ορίων, διεκδικητικές αγωγές, γειτονικού Δικαίου διαφορές, αποκλειστικά αρμόδιο, δε, για την Ευρωπαϊκή Διαδικασία Μικροδιαφορών, κατ΄αρ.  143-1, 2 νΚΠολΔ, ενώ, λειτουργεί και σαν Εργατοδικείο, κατά τα αρ. 144 – 152 του Κώδικα. </w:t>
      </w:r>
    </w:p>
  </w:footnote>
  <w:footnote w:id="38">
    <w:p w:rsidR="00346644" w:rsidRPr="006207BE" w:rsidRDefault="00346644" w:rsidP="00C9797E">
      <w:pPr>
        <w:pStyle w:val="FootnoteText"/>
        <w:jc w:val="both"/>
        <w:rPr>
          <w:rStyle w:val="FootnoteReference"/>
          <w:lang w:val="en-US"/>
        </w:rPr>
      </w:pPr>
      <w:r w:rsidRPr="006207BE">
        <w:rPr>
          <w:rStyle w:val="FootnoteReference"/>
        </w:rPr>
        <w:footnoteRef/>
      </w:r>
      <w:r w:rsidRPr="006207BE">
        <w:rPr>
          <w:rFonts w:cs="Times New Roman"/>
          <w:lang w:val="en-US"/>
        </w:rPr>
        <w:t>« ordonnance de paiement».</w:t>
      </w:r>
    </w:p>
  </w:footnote>
  <w:footnote w:id="39">
    <w:p w:rsidR="00346644" w:rsidRPr="006207BE" w:rsidRDefault="00346644" w:rsidP="00C9797E">
      <w:pPr>
        <w:pStyle w:val="FootnoteText"/>
        <w:jc w:val="both"/>
        <w:rPr>
          <w:rStyle w:val="FootnoteReference"/>
          <w:lang w:val="en-US"/>
        </w:rPr>
      </w:pPr>
      <w:r w:rsidRPr="006207BE">
        <w:rPr>
          <w:rStyle w:val="FootnoteReference"/>
        </w:rPr>
        <w:footnoteRef/>
      </w:r>
      <w:r w:rsidRPr="006207BE">
        <w:rPr>
          <w:rFonts w:cs="Times New Roman"/>
          <w:lang w:val="en-US"/>
        </w:rPr>
        <w:t xml:space="preserve"> </w:t>
      </w:r>
      <w:r w:rsidRPr="006207BE">
        <w:rPr>
          <w:rFonts w:cs="Times New Roman"/>
        </w:rPr>
        <w:t>τέθηκε</w:t>
      </w:r>
      <w:r w:rsidRPr="006207BE">
        <w:rPr>
          <w:rFonts w:cs="Times New Roman"/>
          <w:lang w:val="en-US"/>
        </w:rPr>
        <w:t xml:space="preserve"> </w:t>
      </w:r>
      <w:r w:rsidRPr="006207BE">
        <w:rPr>
          <w:rFonts w:cs="Times New Roman"/>
        </w:rPr>
        <w:t>σε</w:t>
      </w:r>
      <w:r w:rsidRPr="006207BE">
        <w:rPr>
          <w:rFonts w:cs="Times New Roman"/>
          <w:lang w:val="en-US"/>
        </w:rPr>
        <w:t xml:space="preserve"> </w:t>
      </w:r>
      <w:r w:rsidRPr="006207BE">
        <w:rPr>
          <w:rFonts w:cs="Times New Roman"/>
        </w:rPr>
        <w:t>ισχύ</w:t>
      </w:r>
      <w:r w:rsidRPr="006207BE">
        <w:rPr>
          <w:rFonts w:cs="Times New Roman"/>
          <w:lang w:val="en-US"/>
        </w:rPr>
        <w:t xml:space="preserve"> </w:t>
      </w:r>
      <w:r w:rsidRPr="006207BE">
        <w:rPr>
          <w:rFonts w:cs="Times New Roman"/>
        </w:rPr>
        <w:t>από</w:t>
      </w:r>
      <w:r w:rsidRPr="006207BE">
        <w:rPr>
          <w:rFonts w:cs="Times New Roman"/>
          <w:lang w:val="en-US"/>
        </w:rPr>
        <w:t xml:space="preserve"> 15.9.2018.</w:t>
      </w:r>
    </w:p>
  </w:footnote>
  <w:footnote w:id="40">
    <w:p w:rsidR="00346644" w:rsidRPr="006207BE" w:rsidRDefault="00346644" w:rsidP="00C9797E">
      <w:pPr>
        <w:pStyle w:val="FootnoteText"/>
        <w:jc w:val="both"/>
        <w:rPr>
          <w:rFonts w:cs="Times New Roman"/>
        </w:rPr>
      </w:pPr>
      <w:r w:rsidRPr="006207BE">
        <w:rPr>
          <w:rStyle w:val="FootnoteReference"/>
        </w:rPr>
        <w:footnoteRef/>
      </w:r>
      <w:r w:rsidRPr="006207BE">
        <w:rPr>
          <w:rFonts w:cs="Times New Roman"/>
          <w:lang w:val="en-US"/>
        </w:rPr>
        <w:t xml:space="preserve"> </w:t>
      </w:r>
      <w:r w:rsidRPr="006207BE">
        <w:rPr>
          <w:rFonts w:cs="Times New Roman"/>
        </w:rPr>
        <w:t>Νο</w:t>
      </w:r>
      <w:r w:rsidRPr="006207BE">
        <w:rPr>
          <w:rFonts w:cs="Times New Roman"/>
          <w:lang w:val="en-US"/>
        </w:rPr>
        <w:t xml:space="preserve">uveau Code de procedure civile, </w:t>
      </w:r>
      <w:r w:rsidRPr="006207BE">
        <w:rPr>
          <w:rFonts w:cs="Times New Roman"/>
        </w:rPr>
        <w:t>διαθ</w:t>
      </w:r>
      <w:r w:rsidRPr="006207BE">
        <w:rPr>
          <w:rFonts w:cs="Times New Roman"/>
          <w:lang w:val="en-US"/>
        </w:rPr>
        <w:t xml:space="preserve">. </w:t>
      </w:r>
      <w:r w:rsidRPr="006207BE">
        <w:rPr>
          <w:rFonts w:cs="Times New Roman"/>
        </w:rPr>
        <w:t>εδώ</w:t>
      </w:r>
      <w:r w:rsidRPr="006207BE">
        <w:rPr>
          <w:rFonts w:cs="Times New Roman"/>
          <w:lang w:val="en-US"/>
        </w:rPr>
        <w:t xml:space="preserve">: </w:t>
      </w:r>
      <w:hyperlink r:id="rId14" w:history="1">
        <w:r w:rsidRPr="006207BE">
          <w:rPr>
            <w:rStyle w:val="Hyperlink"/>
            <w:rFonts w:cs="Times New Roman"/>
            <w:lang w:val="en-US"/>
          </w:rPr>
          <w:t>http://legilux.public.lu/eli/etat/leg/code/procedure_civile/20190101</w:t>
        </w:r>
      </w:hyperlink>
      <w:r w:rsidRPr="006207BE">
        <w:rPr>
          <w:rFonts w:cs="Times New Roman"/>
          <w:lang w:val="en-US"/>
        </w:rPr>
        <w:t xml:space="preserve">, </w:t>
      </w:r>
      <w:r w:rsidRPr="006207BE">
        <w:rPr>
          <w:rFonts w:cs="Times New Roman"/>
        </w:rPr>
        <w:t>με</w:t>
      </w:r>
      <w:r w:rsidRPr="006207BE">
        <w:rPr>
          <w:rFonts w:cs="Times New Roman"/>
          <w:lang w:val="en-US"/>
        </w:rPr>
        <w:t xml:space="preserve"> </w:t>
      </w:r>
      <w:r w:rsidRPr="006207BE">
        <w:rPr>
          <w:rFonts w:cs="Times New Roman"/>
        </w:rPr>
        <w:t>ημ</w:t>
      </w:r>
      <w:r w:rsidRPr="006207BE">
        <w:rPr>
          <w:rFonts w:cs="Times New Roman"/>
          <w:lang w:val="en-US"/>
        </w:rPr>
        <w:t xml:space="preserve">. </w:t>
      </w:r>
      <w:r w:rsidRPr="006207BE">
        <w:rPr>
          <w:rFonts w:cs="Times New Roman"/>
        </w:rPr>
        <w:t>προσβ</w:t>
      </w:r>
      <w:r w:rsidRPr="006207BE">
        <w:rPr>
          <w:rFonts w:cs="Times New Roman"/>
          <w:lang w:val="en-US"/>
        </w:rPr>
        <w:t xml:space="preserve">. </w:t>
      </w:r>
      <w:r w:rsidRPr="006207BE">
        <w:rPr>
          <w:rFonts w:cs="Times New Roman"/>
        </w:rPr>
        <w:t xml:space="preserve">16.7.2019. </w:t>
      </w:r>
    </w:p>
  </w:footnote>
  <w:footnote w:id="41">
    <w:p w:rsidR="00346644" w:rsidRPr="006207BE" w:rsidRDefault="00346644" w:rsidP="00C9797E">
      <w:pPr>
        <w:pStyle w:val="FootnoteText"/>
        <w:jc w:val="both"/>
      </w:pPr>
      <w:r w:rsidRPr="006207BE">
        <w:rPr>
          <w:rStyle w:val="FootnoteReference"/>
        </w:rPr>
        <w:footnoteRef/>
      </w:r>
      <w:r w:rsidRPr="006207BE">
        <w:rPr>
          <w:rStyle w:val="FootnoteReference"/>
        </w:rPr>
        <w:t xml:space="preserve"> </w:t>
      </w:r>
      <w:r w:rsidRPr="006207BE">
        <w:rPr>
          <w:rFonts w:cs="Times New Roman"/>
        </w:rPr>
        <w:t>την οποία μπορεί να υποβάλει ο ενάγων αυτοπροσώπως, δια πληρεξουσίου, ενώ, το Δίκαιο του Λουξεμβούργου γνωρίζει και τον θεσμό της εκούσιας αντιπροσώπευσης ενώπιον του Ειρηνοδικείου, από τον σύζυγο του ενάγοντα, τους γονείς ή συγγενείς του έως τον τρίτο βαθμό, οι οποίοι και πρέπει να είναι εφοδιασμένοι με ειδική πληρεξουσιότητα για την επιχείρηση της διαδικαστικής πράξης, κατ΄αρ. 106 ΛουξνΚΠολΔ.</w:t>
      </w:r>
      <w:r w:rsidRPr="006207BE">
        <w:t xml:space="preserve"> </w:t>
      </w:r>
    </w:p>
  </w:footnote>
  <w:footnote w:id="42">
    <w:p w:rsidR="00346644" w:rsidRPr="006207BE" w:rsidRDefault="00346644" w:rsidP="00C9797E">
      <w:pPr>
        <w:pStyle w:val="FootnoteText"/>
        <w:jc w:val="both"/>
      </w:pPr>
      <w:r w:rsidRPr="006207BE">
        <w:rPr>
          <w:rStyle w:val="FootnoteReference"/>
        </w:rPr>
        <w:footnoteRef/>
      </w:r>
      <w:r w:rsidRPr="006207BE">
        <w:t xml:space="preserve"> </w:t>
      </w:r>
      <w:r w:rsidRPr="006207BE">
        <w:rPr>
          <w:rFonts w:cs="Times New Roman"/>
        </w:rPr>
        <w:t xml:space="preserve">Γραπτά ή προφορικά, στην τελευταία, δε, περίπτωση υφίσταται και η δυνατότητα χρήσης προδιατυπωμένου εντύπου, διαθέσιμο στις Γραμματείες του Ειρηνοδικείου και ηλεκτρονικά εδώ:  </w:t>
      </w:r>
      <w:hyperlink r:id="rId15" w:history="1">
        <w:r w:rsidRPr="006207BE">
          <w:rPr>
            <w:rStyle w:val="Hyperlink"/>
            <w:rFonts w:cs="Times New Roman"/>
          </w:rPr>
          <w:t>https://justice.public.lu/dam-assets/fr/formulaires/ordonnance-paiement-justice-paix/requete-ordonnance-de-paiement.pdf</w:t>
        </w:r>
      </w:hyperlink>
      <w:r w:rsidRPr="006207BE">
        <w:rPr>
          <w:rFonts w:cs="Times New Roman"/>
        </w:rPr>
        <w:t>, με ημ. προσβ. 16.7.2019.</w:t>
      </w:r>
      <w:r w:rsidRPr="006207BE">
        <w:t xml:space="preserve"> </w:t>
      </w:r>
    </w:p>
  </w:footnote>
  <w:footnote w:id="43">
    <w:p w:rsidR="00346644" w:rsidRPr="006207BE" w:rsidRDefault="00346644" w:rsidP="00C9797E">
      <w:pPr>
        <w:pStyle w:val="FootnoteText"/>
      </w:pPr>
      <w:r w:rsidRPr="006207BE">
        <w:rPr>
          <w:rStyle w:val="FootnoteReference"/>
        </w:rPr>
        <w:footnoteRef/>
      </w:r>
      <w:r w:rsidRPr="006207BE">
        <w:t xml:space="preserve"> </w:t>
      </w:r>
      <w:r w:rsidRPr="006207BE">
        <w:rPr>
          <w:rFonts w:cs="Times New Roman"/>
        </w:rPr>
        <w:t xml:space="preserve">αρ. 143 ΛουξνΚΠολΔ. </w:t>
      </w:r>
    </w:p>
  </w:footnote>
  <w:footnote w:id="44">
    <w:p w:rsidR="00346644" w:rsidRPr="006207BE" w:rsidRDefault="00346644" w:rsidP="00C9797E">
      <w:pPr>
        <w:pStyle w:val="FootnoteText"/>
        <w:jc w:val="both"/>
      </w:pPr>
      <w:r w:rsidRPr="006207BE">
        <w:rPr>
          <w:rStyle w:val="FootnoteReference"/>
        </w:rPr>
        <w:footnoteRef/>
      </w:r>
      <w:r w:rsidRPr="006207BE">
        <w:t xml:space="preserve"> </w:t>
      </w:r>
      <w:r w:rsidRPr="006207BE">
        <w:rPr>
          <w:rFonts w:cs="Times New Roman"/>
        </w:rPr>
        <w:t xml:space="preserve">στην οποία δεν συμπεριλαμβάνονται τόκοι και έξοδα. </w:t>
      </w:r>
    </w:p>
  </w:footnote>
  <w:footnote w:id="45">
    <w:p w:rsidR="00346644" w:rsidRPr="006207BE" w:rsidRDefault="00346644" w:rsidP="00C9797E">
      <w:pPr>
        <w:pStyle w:val="FootnoteText"/>
        <w:rPr>
          <w:rStyle w:val="FootnoteReference"/>
        </w:rPr>
      </w:pPr>
      <w:r w:rsidRPr="006207BE">
        <w:rPr>
          <w:rStyle w:val="FootnoteReference"/>
        </w:rPr>
        <w:footnoteRef/>
      </w:r>
      <w:r w:rsidRPr="006207BE">
        <w:t xml:space="preserve"> δ</w:t>
      </w:r>
      <w:r w:rsidRPr="006207BE">
        <w:rPr>
          <w:rFonts w:cs="Times New Roman"/>
        </w:rPr>
        <w:t>ηλαδή, την νομική και ουσιαστική βασιμότητά της.</w:t>
      </w:r>
    </w:p>
  </w:footnote>
  <w:footnote w:id="46">
    <w:p w:rsidR="00346644" w:rsidRPr="006207BE" w:rsidRDefault="00346644" w:rsidP="00C9797E">
      <w:pPr>
        <w:pStyle w:val="FootnoteText"/>
        <w:rPr>
          <w:rStyle w:val="FootnoteReference"/>
        </w:rPr>
      </w:pPr>
      <w:r w:rsidRPr="006207BE">
        <w:rPr>
          <w:rStyle w:val="FootnoteReference"/>
        </w:rPr>
        <w:footnoteRef/>
      </w:r>
      <w:r w:rsidRPr="006207BE">
        <w:rPr>
          <w:rStyle w:val="FootnoteReference"/>
        </w:rPr>
        <w:t xml:space="preserve"> </w:t>
      </w:r>
      <w:r w:rsidRPr="006207BE">
        <w:rPr>
          <w:rFonts w:cs="Times New Roman"/>
        </w:rPr>
        <w:t>ή</w:t>
      </w:r>
      <w:r w:rsidRPr="006207BE">
        <w:rPr>
          <w:bCs/>
        </w:rPr>
        <w:t xml:space="preserve"> </w:t>
      </w:r>
      <w:r w:rsidRPr="006207BE">
        <w:rPr>
          <w:rFonts w:cs="Times New Roman"/>
        </w:rPr>
        <w:t>και απαράδεκτη.</w:t>
      </w:r>
    </w:p>
  </w:footnote>
  <w:footnote w:id="47">
    <w:p w:rsidR="00346644" w:rsidRPr="006207BE" w:rsidRDefault="00346644" w:rsidP="00C9797E">
      <w:pPr>
        <w:pStyle w:val="FootnoteText"/>
        <w:jc w:val="both"/>
        <w:rPr>
          <w:rStyle w:val="Strong"/>
          <w:b w:val="0"/>
          <w:color w:val="000000"/>
          <w:shd w:val="clear" w:color="auto" w:fill="FFFFFF"/>
        </w:rPr>
      </w:pPr>
      <w:r w:rsidRPr="006207BE">
        <w:rPr>
          <w:rStyle w:val="FootnoteReference"/>
          <w:bCs/>
        </w:rPr>
        <w:footnoteRef/>
      </w:r>
      <w:r w:rsidRPr="006207BE">
        <w:rPr>
          <w:rStyle w:val="Strong"/>
          <w:color w:val="000000"/>
          <w:shd w:val="clear" w:color="auto" w:fill="FFFFFF"/>
        </w:rPr>
        <w:t xml:space="preserve"> </w:t>
      </w:r>
      <w:r w:rsidRPr="006207BE">
        <w:rPr>
          <w:rFonts w:cs="Times New Roman"/>
        </w:rPr>
        <w:t>αρ. 132 ΛουξνΚΠολΔ .</w:t>
      </w:r>
    </w:p>
  </w:footnote>
  <w:footnote w:id="48">
    <w:p w:rsidR="00346644" w:rsidRPr="006207BE" w:rsidRDefault="00346644" w:rsidP="00CF1A31">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bCs/>
        </w:rPr>
        <w:t>ολική ή μερική.</w:t>
      </w:r>
      <w:r w:rsidRPr="006207BE">
        <w:rPr>
          <w:rStyle w:val="Strong"/>
          <w:color w:val="000000"/>
          <w:shd w:val="clear" w:color="auto" w:fill="FFFFFF"/>
        </w:rPr>
        <w:t xml:space="preserve"> </w:t>
      </w:r>
    </w:p>
  </w:footnote>
  <w:footnote w:id="49">
    <w:p w:rsidR="00346644" w:rsidRPr="006207BE" w:rsidRDefault="00346644" w:rsidP="00C9797E">
      <w:pPr>
        <w:pStyle w:val="FootnoteText"/>
        <w:rPr>
          <w:rStyle w:val="FootnoteReference"/>
        </w:rPr>
      </w:pPr>
      <w:r w:rsidRPr="006207BE">
        <w:rPr>
          <w:rStyle w:val="FootnoteReference"/>
          <w:bCs/>
        </w:rPr>
        <w:footnoteRef/>
      </w:r>
      <w:r w:rsidRPr="006207BE">
        <w:rPr>
          <w:rStyle w:val="Strong"/>
          <w:color w:val="000000"/>
          <w:shd w:val="clear" w:color="auto" w:fill="FFFFFF"/>
        </w:rPr>
        <w:t xml:space="preserve"> </w:t>
      </w:r>
      <w:r w:rsidRPr="006207BE">
        <w:rPr>
          <w:rFonts w:cs="Times New Roman"/>
        </w:rPr>
        <w:t>αρ. 133 ΛουξνΚΠολΔ</w:t>
      </w:r>
      <w:r w:rsidRPr="006207BE">
        <w:rPr>
          <w:rStyle w:val="Strong"/>
          <w:b w:val="0"/>
          <w:color w:val="000000"/>
          <w:shd w:val="clear" w:color="auto" w:fill="FFFFFF"/>
        </w:rPr>
        <w:t xml:space="preserve"> .</w:t>
      </w:r>
    </w:p>
  </w:footnote>
  <w:footnote w:id="50">
    <w:p w:rsidR="00346644" w:rsidRPr="006207BE" w:rsidRDefault="00346644" w:rsidP="00C9797E">
      <w:pPr>
        <w:pStyle w:val="FootnoteText"/>
        <w:rPr>
          <w:rStyle w:val="FootnoteReference"/>
        </w:rPr>
      </w:pPr>
      <w:r w:rsidRPr="006207BE">
        <w:rPr>
          <w:rStyle w:val="FootnoteReference"/>
        </w:rPr>
        <w:footnoteRef/>
      </w:r>
      <w:r w:rsidRPr="006207BE">
        <w:rPr>
          <w:rStyle w:val="Strong"/>
          <w:b w:val="0"/>
          <w:color w:val="000000"/>
          <w:shd w:val="clear" w:color="auto" w:fill="FFFFFF"/>
        </w:rPr>
        <w:t xml:space="preserve"> </w:t>
      </w:r>
      <w:r w:rsidRPr="006207BE">
        <w:rPr>
          <w:rFonts w:cs="Times New Roman"/>
          <w:bCs/>
        </w:rPr>
        <w:t>αρ. 135 ΛουξνΚΠολΔ.</w:t>
      </w:r>
    </w:p>
  </w:footnote>
  <w:footnote w:id="51">
    <w:p w:rsidR="00346644" w:rsidRPr="006207BE" w:rsidRDefault="00346644" w:rsidP="00C9797E">
      <w:pPr>
        <w:pStyle w:val="FootnoteText"/>
        <w:jc w:val="both"/>
        <w:rPr>
          <w:rFonts w:cs="Times New Roman"/>
        </w:rPr>
      </w:pPr>
      <w:r w:rsidRPr="006207BE">
        <w:rPr>
          <w:rStyle w:val="FootnoteReference"/>
          <w:bCs/>
        </w:rPr>
        <w:footnoteRef/>
      </w:r>
      <w:r w:rsidRPr="006207BE">
        <w:rPr>
          <w:rStyle w:val="Strong"/>
          <w:b w:val="0"/>
          <w:color w:val="000000"/>
          <w:shd w:val="clear" w:color="auto" w:fill="FFFFFF"/>
        </w:rPr>
        <w:t xml:space="preserve"> </w:t>
      </w:r>
      <w:r w:rsidRPr="006207BE">
        <w:rPr>
          <w:rFonts w:cs="Times New Roman"/>
        </w:rPr>
        <w:t>με οποιοδήποτε τρόπο</w:t>
      </w:r>
      <w:r w:rsidRPr="006207BE">
        <w:rPr>
          <w:rStyle w:val="Strong"/>
          <w:b w:val="0"/>
          <w:color w:val="000000"/>
          <w:shd w:val="clear" w:color="auto" w:fill="FFFFFF"/>
        </w:rPr>
        <w:t xml:space="preserve"> .</w:t>
      </w:r>
    </w:p>
  </w:footnote>
  <w:footnote w:id="52">
    <w:p w:rsidR="00346644" w:rsidRPr="006207BE" w:rsidRDefault="00346644" w:rsidP="00C9797E">
      <w:pPr>
        <w:pStyle w:val="FootnoteText"/>
        <w:jc w:val="both"/>
        <w:rPr>
          <w:rStyle w:val="Strong"/>
          <w:b w:val="0"/>
          <w:color w:val="000000"/>
          <w:shd w:val="clear" w:color="auto" w:fill="FFFFFF"/>
        </w:rPr>
      </w:pPr>
      <w:r w:rsidRPr="006207BE">
        <w:rPr>
          <w:rStyle w:val="FootnoteReference"/>
        </w:rPr>
        <w:footnoteRef/>
      </w:r>
      <w:r w:rsidRPr="006207BE">
        <w:rPr>
          <w:rStyle w:val="FootnoteReference"/>
        </w:rPr>
        <w:t xml:space="preserve"> </w:t>
      </w:r>
      <w:r w:rsidRPr="006207BE">
        <w:rPr>
          <w:rFonts w:cs="Times New Roman"/>
          <w:bCs/>
        </w:rPr>
        <w:t>κατ΄ αρ. 137 ΛουξνΚΠολΔ, το, δε, αίτημα για προφορική συζήτηση υποβάλλεται  από τον ενάγοντα με την κατάθεση της δήλωσης, για την περίπτωση που υποβληθούν, εγκαίρως, αντιρρήσεις στην έκδοση της διαταγής, είτε, από τον εναγόμενο με την κατάθεση των τελευταίων.</w:t>
      </w:r>
      <w:r w:rsidRPr="006207BE">
        <w:rPr>
          <w:rStyle w:val="Strong"/>
          <w:b w:val="0"/>
          <w:color w:val="000000"/>
          <w:shd w:val="clear" w:color="auto" w:fill="FFFFFF"/>
        </w:rPr>
        <w:t xml:space="preserve">   </w:t>
      </w:r>
    </w:p>
  </w:footnote>
  <w:footnote w:id="53">
    <w:p w:rsidR="00346644" w:rsidRPr="006207BE" w:rsidRDefault="00346644" w:rsidP="00C9797E">
      <w:pPr>
        <w:pStyle w:val="FootnoteText"/>
        <w:jc w:val="both"/>
        <w:rPr>
          <w:rStyle w:val="Strong"/>
          <w:b w:val="0"/>
          <w:color w:val="000000"/>
          <w:shd w:val="clear" w:color="auto" w:fill="FFFFFF"/>
        </w:rPr>
      </w:pPr>
      <w:r w:rsidRPr="006207BE">
        <w:rPr>
          <w:rStyle w:val="FootnoteReference"/>
          <w:bCs/>
        </w:rPr>
        <w:footnoteRef/>
      </w:r>
      <w:r w:rsidRPr="006207BE">
        <w:rPr>
          <w:rStyle w:val="FootnoteReference"/>
          <w:bCs/>
        </w:rPr>
        <w:t xml:space="preserve"> </w:t>
      </w:r>
      <w:r w:rsidRPr="006207BE">
        <w:rPr>
          <w:rFonts w:cs="Times New Roman"/>
        </w:rPr>
        <w:t>αρ. 138 ΛουξνΚΠολΔ.</w:t>
      </w:r>
      <w:r w:rsidRPr="006207BE">
        <w:rPr>
          <w:rStyle w:val="Strong"/>
          <w:b w:val="0"/>
          <w:color w:val="000000"/>
          <w:shd w:val="clear" w:color="auto" w:fill="FFFFFF"/>
        </w:rPr>
        <w:t xml:space="preserve"> </w:t>
      </w:r>
    </w:p>
  </w:footnote>
  <w:footnote w:id="54">
    <w:p w:rsidR="00346644" w:rsidRPr="006207BE" w:rsidRDefault="00346644" w:rsidP="00C9797E">
      <w:pPr>
        <w:pStyle w:val="FootnoteText"/>
        <w:jc w:val="both"/>
        <w:rPr>
          <w:rStyle w:val="Strong"/>
          <w:b w:val="0"/>
          <w:color w:val="000000"/>
          <w:shd w:val="clear" w:color="auto" w:fill="FFFFFF"/>
        </w:rPr>
      </w:pPr>
      <w:r w:rsidRPr="006207BE">
        <w:rPr>
          <w:rStyle w:val="FootnoteReference"/>
        </w:rPr>
        <w:footnoteRef/>
      </w:r>
      <w:r w:rsidRPr="006207BE">
        <w:rPr>
          <w:rStyle w:val="Strong"/>
          <w:b w:val="0"/>
          <w:color w:val="000000"/>
          <w:shd w:val="clear" w:color="auto" w:fill="FFFFFF"/>
        </w:rPr>
        <w:t xml:space="preserve"> </w:t>
      </w:r>
      <w:r w:rsidRPr="006207BE">
        <w:rPr>
          <w:rFonts w:cs="Times New Roman"/>
          <w:bCs/>
        </w:rPr>
        <w:t>κατ΄αρ. 139 ΛουξνΚΠολΔ, η, δε, αίτηση κατατίθεται, ομοίως, με προφορική ή γραπτή δήλωση στην Γραμματεία, που καταχωρίζεται στο μητρώο.</w:t>
      </w:r>
    </w:p>
  </w:footnote>
  <w:footnote w:id="55">
    <w:p w:rsidR="00346644" w:rsidRPr="006207BE" w:rsidRDefault="00346644" w:rsidP="00E3213F">
      <w:pPr>
        <w:pStyle w:val="FootnoteText"/>
        <w:jc w:val="both"/>
      </w:pPr>
      <w:r w:rsidRPr="006207BE">
        <w:rPr>
          <w:rStyle w:val="FootnoteReference"/>
          <w:rFonts w:cs="Times New Roman"/>
        </w:rPr>
        <w:footnoteRef/>
      </w:r>
      <w:r w:rsidRPr="006207BE">
        <w:rPr>
          <w:rFonts w:cs="Times New Roman"/>
        </w:rPr>
        <w:t xml:space="preserve"> υφίσταται για αστικές διαφορές, ανεξαρτήτως αντικειμένου και αξίας, απλουστευμένη διαδικασία ενώπιον του Ειρηνοδικείου </w:t>
      </w:r>
      <w:r w:rsidRPr="006207BE">
        <w:rPr>
          <w:rFonts w:cs="Times New Roman"/>
          <w:b/>
        </w:rPr>
        <w:t>(</w:t>
      </w:r>
      <w:r w:rsidRPr="006207BE">
        <w:rPr>
          <w:rStyle w:val="Strong"/>
          <w:rFonts w:cs="Times New Roman"/>
          <w:b w:val="0"/>
          <w:color w:val="000000"/>
          <w:shd w:val="clear" w:color="auto" w:fill="FFFFFF"/>
        </w:rPr>
        <w:t>«Country Court», σε μετάφραση Σταμέλος, Χατζημανώλη, Μπαλογιάννη, Λεξικό Νομικών Όρων, Νομική Βιβλιοθήκη, τo οποίο, κατά το το αρ. 11 ΕσθΚΠολΔ, είναι αρμόδιο για όλες τις αστικές διαφορές σε πρώτο βαθμό)</w:t>
      </w:r>
      <w:r w:rsidRPr="006207BE">
        <w:rPr>
          <w:rFonts w:cs="Times New Roman"/>
          <w:b/>
        </w:rPr>
        <w:t>,</w:t>
      </w:r>
      <w:r w:rsidRPr="006207BE">
        <w:rPr>
          <w:rFonts w:cs="Times New Roman"/>
        </w:rPr>
        <w:t xml:space="preserve"> η οποία διέπεται από τα άρθρα 403 επ. ΕσθΚΠολΔ. Ειδικότερα, η συνήθης, κοινή διαδικασία στηρίζεται στην προφορική ακρόαση (αρ. 349 ΕσθΚΠολΔ), και σε δημόσια συνεδρίαση (αρ. 37, 341 επ. ΕσθΚΠολΔ), των εκατέρωθεν ισχυρισμών που έχουν, προδικαστικά (αρ. 244 επ. ΕσθΚΠολΔ), εισφερθεί, η οποία μπορεί να καμφθεί προς, αμιγώς, έγγραφη διεξαγωγή, κατόπιν συναίνεσης των διαδίκων (</w:t>
      </w:r>
      <w:r w:rsidRPr="006207BE">
        <w:rPr>
          <w:rStyle w:val="Strong"/>
          <w:rFonts w:cs="Times New Roman"/>
          <w:b w:val="0"/>
          <w:color w:val="000000"/>
          <w:shd w:val="clear" w:color="auto" w:fill="FFFFFF"/>
        </w:rPr>
        <w:t>για τον λόγο αυτό, κατ΄αρ. 363 επ. ΕσθΚΠολΔ, στην επιθετική διαδικαστική πράξη εμπεριέχονται, υποχρεωτικά, τα αποδεικτικά μέσα του επιτιθέμενου διαδίκου, καθώς, και σχετική δήλωσή του αν αποδέχεται τη διεξαγωγή γραπττής διαδικασίας , ενώ, αντίστοιχη πρόβλεψη υπάρχει και για λογαριασμό του αμυνόμενου, κατ΄αρ. 393 περ. 6 ΕσθΚΠολΔ</w:t>
      </w:r>
      <w:r w:rsidRPr="006207BE">
        <w:rPr>
          <w:rStyle w:val="Strong"/>
          <w:rFonts w:cs="Times New Roman"/>
          <w:color w:val="000000"/>
          <w:shd w:val="clear" w:color="auto" w:fill="FFFFFF"/>
        </w:rPr>
        <w:t>)</w:t>
      </w:r>
      <w:r w:rsidRPr="006207BE">
        <w:rPr>
          <w:rFonts w:cs="Times New Roman"/>
        </w:rPr>
        <w:t>. Αντίθετα, για υποθέσεις αξίας έως 3.200,00 ευρώ</w:t>
      </w:r>
      <w:r w:rsidRPr="006207BE">
        <w:rPr>
          <w:rStyle w:val="FootnoteReference"/>
          <w:rFonts w:cs="Times New Roman"/>
        </w:rPr>
        <w:footnoteRef/>
      </w:r>
      <w:r w:rsidRPr="006207BE">
        <w:rPr>
          <w:rFonts w:cs="Times New Roman"/>
        </w:rPr>
        <w:t>, κατά κεφάλαιο</w:t>
      </w:r>
      <w:r w:rsidRPr="006207BE">
        <w:rPr>
          <w:rStyle w:val="Strong"/>
          <w:rFonts w:cs="Times New Roman"/>
          <w:color w:val="000000"/>
          <w:shd w:val="clear" w:color="auto" w:fill="FFFFFF"/>
        </w:rPr>
        <w:t xml:space="preserve"> </w:t>
      </w:r>
      <w:r w:rsidRPr="006207BE">
        <w:rPr>
          <w:rStyle w:val="Strong"/>
          <w:rFonts w:cs="Times New Roman"/>
          <w:b w:val="0"/>
          <w:color w:val="000000"/>
          <w:shd w:val="clear" w:color="auto" w:fill="FFFFFF"/>
        </w:rPr>
        <w:t>και έως 6.400,00 ευρώ συμπεριλαμβανομένων τόκων, καρπών και λοιπών παρεπόμενων απαιτήσεων,</w:t>
      </w:r>
      <w:r w:rsidRPr="006207BE">
        <w:rPr>
          <w:rFonts w:cs="Times New Roman"/>
        </w:rPr>
        <w:t xml:space="preserve"> είτε για υποθέσεις κυριότητας έως το ποσό των 2.000,00 ευρώ,</w:t>
      </w:r>
      <w:r w:rsidRPr="006207BE">
        <w:rPr>
          <w:rStyle w:val="Strong"/>
          <w:rFonts w:cs="Times New Roman"/>
          <w:color w:val="000000"/>
          <w:shd w:val="clear" w:color="auto" w:fill="FFFFFF"/>
        </w:rPr>
        <w:t xml:space="preserve"> </w:t>
      </w:r>
      <w:r w:rsidRPr="006207BE">
        <w:rPr>
          <w:rStyle w:val="Strong"/>
          <w:rFonts w:cs="Times New Roman"/>
          <w:b w:val="0"/>
          <w:color w:val="000000"/>
          <w:shd w:val="clear" w:color="auto" w:fill="FFFFFF"/>
        </w:rPr>
        <w:t>κατά κεφάλαιο και έως 4.000,00 ευρώ συμπεριλαμβανομένων τόκων, καρπών και λοιπών παρεπόμενων απαιτήσεων</w:t>
      </w:r>
      <w:r w:rsidRPr="006207BE">
        <w:rPr>
          <w:rFonts w:cs="Times New Roman"/>
        </w:rPr>
        <w:t>, τ</w:t>
      </w:r>
      <w:r w:rsidRPr="006207BE">
        <w:rPr>
          <w:rStyle w:val="tlid-translation"/>
          <w:rFonts w:cs="Times New Roman"/>
        </w:rPr>
        <w:t xml:space="preserve">ο Δικαστήριο, προαιρετικά και κατά διακριτική ευχέρειά του, δύναται να αποφανθεί για τη διεξαγωγή, αποκλειστικά, γραπτής διαδικασίας και την έκδοση απόφασης χωρίς δημόσια συνεδρίαση, ακόμα και χωρίς τη συγκατάθεση των διαδίκων (αρ. 404 </w:t>
      </w:r>
      <w:r w:rsidRPr="006207BE">
        <w:rPr>
          <w:rStyle w:val="Strong"/>
          <w:rFonts w:cs="Times New Roman"/>
          <w:color w:val="000000"/>
          <w:shd w:val="clear" w:color="auto" w:fill="FFFFFF"/>
        </w:rPr>
        <w:t xml:space="preserve">– </w:t>
      </w:r>
      <w:r w:rsidRPr="006207BE">
        <w:rPr>
          <w:rStyle w:val="Strong"/>
          <w:rFonts w:cs="Times New Roman"/>
          <w:b w:val="0"/>
          <w:color w:val="000000"/>
          <w:shd w:val="clear" w:color="auto" w:fill="FFFFFF"/>
        </w:rPr>
        <w:t>406 ΕσθΚΠολΔ, στον οποίο συμπεριελήφθη και το αρ. 405Α για την εφαρμογή της ευρωπαϊκής διαδικασίας μικροδιαφορών)</w:t>
      </w:r>
      <w:r w:rsidRPr="006207BE">
        <w:rPr>
          <w:rStyle w:val="tlid-translation"/>
          <w:rFonts w:cs="Times New Roman"/>
          <w:b/>
        </w:rPr>
        <w:t xml:space="preserve">. </w:t>
      </w:r>
      <w:r w:rsidRPr="006207BE">
        <w:rPr>
          <w:rStyle w:val="tlid-translation"/>
          <w:rFonts w:cs="Times New Roman"/>
        </w:rPr>
        <w:t>Στην περίπτωση αυτή (αρ.405 ΕσθΚΠολΔ), μπορεί να παρεκκλίνει από τις γενικές διαδικαστικές αρχές του ΕσθΚΠολΔ και, μεταξύ άλλων, να διεξαγάγει αποδείξεις με δική του πρωτοβουλία, καθώς, και να εκδόσει απόφαση χωρίς αιτιολογία και χωρίς αναφορά των πραγματικών περιστατικών που στηρίζουν ή καταρρίπτουν την επίδικη αξίωση, εφόσον βεβαιώσει ότι τηρήθηκαν απαρέγκλιτα όλα τα θεμελιώδη δικονομικά δικαιώματα των διαδίκων και οι αρχές της δίκαιης δίκης</w:t>
      </w:r>
      <w:r w:rsidRPr="006207BE">
        <w:rPr>
          <w:rStyle w:val="Strong"/>
          <w:rFonts w:cs="Times New Roman"/>
          <w:color w:val="000000"/>
          <w:shd w:val="clear" w:color="auto" w:fill="FFFFFF"/>
        </w:rPr>
        <w:t xml:space="preserve"> </w:t>
      </w:r>
      <w:r w:rsidRPr="006207BE">
        <w:rPr>
          <w:rStyle w:val="Strong"/>
          <w:rFonts w:cs="Times New Roman"/>
          <w:b w:val="0"/>
          <w:color w:val="000000"/>
          <w:shd w:val="clear" w:color="auto" w:fill="FFFFFF"/>
        </w:rPr>
        <w:t>(για τον λόγο αυτό είναι υποχρεωτική ακρόαση διαδίκου αν το ζητήσει, χωρίς τη διεξαγωγή, όμως, ειδικής συνεδρίασης)</w:t>
      </w:r>
      <w:r w:rsidRPr="006207BE">
        <w:rPr>
          <w:rStyle w:val="tlid-translation"/>
          <w:rFonts w:cs="Times New Roman"/>
        </w:rPr>
        <w:t xml:space="preserve">, ενώ, στην απόφαση ορίζεται και η προθεσμία άσκησης ενδίκου μέσου.   </w:t>
      </w:r>
    </w:p>
  </w:footnote>
  <w:footnote w:id="56">
    <w:p w:rsidR="00346644" w:rsidRPr="006207BE" w:rsidRDefault="00346644" w:rsidP="006A4DC9">
      <w:pPr>
        <w:pStyle w:val="FootnoteText"/>
        <w:jc w:val="both"/>
      </w:pPr>
      <w:r w:rsidRPr="006207BE">
        <w:rPr>
          <w:rStyle w:val="FootnoteReference"/>
          <w:rFonts w:cs="Times New Roman"/>
        </w:rPr>
        <w:footnoteRef/>
      </w:r>
      <w:r w:rsidRPr="006207BE">
        <w:rPr>
          <w:rFonts w:cs="Times New Roman"/>
        </w:rPr>
        <w:t xml:space="preserve"> Το Δίκαιο της Ουγγαρίας δεν προβλέπει εξ αρχής διαγνωστική διαδικασία μικροδιαφορών, η οποία και είναι διαθέσιμη μόνο για την εκδίκαση ανακοπής κατά διαταγής πληρωμής, που εκδίδεται από Συμβολαιογράφο, κατά τον νόμο </w:t>
      </w:r>
      <w:r w:rsidRPr="006207BE">
        <w:rPr>
          <w:rFonts w:cs="Times New Roman"/>
          <w:lang w:val="en-US"/>
        </w:rPr>
        <w:t>L</w:t>
      </w:r>
      <w:r w:rsidRPr="006207BE">
        <w:rPr>
          <w:rFonts w:cs="Times New Roman"/>
        </w:rPr>
        <w:t>/2009 (</w:t>
      </w:r>
      <w:hyperlink r:id="rId16" w:history="1">
        <w:r w:rsidRPr="006207BE">
          <w:rPr>
            <w:rStyle w:val="Hyperlink"/>
            <w:rFonts w:cs="Times New Roman"/>
          </w:rPr>
          <w:t>https://e-justice.europa.eu/content_order_for_payment_procedures-41-hu-el.do?member=1</w:t>
        </w:r>
      </w:hyperlink>
      <w:r w:rsidRPr="006207BE">
        <w:rPr>
          <w:rFonts w:cs="Times New Roman"/>
        </w:rPr>
        <w:t>, με ημ. προσβ. 18.8.2019.</w:t>
      </w:r>
    </w:p>
  </w:footnote>
  <w:footnote w:id="57">
    <w:p w:rsidR="00346644" w:rsidRPr="006207BE" w:rsidRDefault="00346644" w:rsidP="00AE30FA">
      <w:pPr>
        <w:pStyle w:val="Heading1"/>
        <w:shd w:val="clear" w:color="auto" w:fill="FFFFFF"/>
        <w:spacing w:before="0" w:beforeAutospacing="0" w:after="0" w:afterAutospacing="0"/>
        <w:jc w:val="both"/>
        <w:rPr>
          <w:rFonts w:asciiTheme="minorHAnsi" w:hAnsiTheme="minorHAnsi"/>
          <w:sz w:val="20"/>
          <w:szCs w:val="20"/>
        </w:rPr>
      </w:pPr>
      <w:r w:rsidRPr="006207BE">
        <w:rPr>
          <w:rStyle w:val="FootnoteReference"/>
          <w:rFonts w:asciiTheme="minorHAnsi" w:eastAsiaTheme="minorEastAsia" w:hAnsiTheme="minorHAnsi" w:cstheme="minorBidi"/>
          <w:b w:val="0"/>
          <w:bCs w:val="0"/>
          <w:kern w:val="0"/>
          <w:sz w:val="20"/>
          <w:szCs w:val="20"/>
        </w:rPr>
        <w:footnoteRef/>
      </w:r>
      <w:r w:rsidRPr="006207BE">
        <w:rPr>
          <w:rFonts w:asciiTheme="minorHAnsi" w:hAnsiTheme="minorHAnsi"/>
          <w:sz w:val="20"/>
          <w:szCs w:val="20"/>
        </w:rPr>
        <w:t xml:space="preserve"> </w:t>
      </w:r>
      <w:r w:rsidRPr="006207BE">
        <w:rPr>
          <w:rFonts w:asciiTheme="minorHAnsi" w:hAnsiTheme="minorHAnsi"/>
          <w:b w:val="0"/>
          <w:color w:val="222222"/>
          <w:sz w:val="20"/>
          <w:szCs w:val="20"/>
          <w:shd w:val="clear" w:color="auto" w:fill="FFFFFF"/>
        </w:rPr>
        <w:t xml:space="preserve">για αστικές υποθέσεις μέχρι ποσού 25.000 ευρώ, εργατικές διαφορές, μισθώσεις και τραπεζικές διαφορές μέχρι το ποσό των 40.000 ευρώ, ισχύει </w:t>
      </w:r>
      <w:r w:rsidRPr="006207BE">
        <w:rPr>
          <w:rFonts w:asciiTheme="minorHAnsi" w:hAnsiTheme="minorHAnsi"/>
          <w:b w:val="0"/>
          <w:color w:val="222222"/>
          <w:sz w:val="20"/>
          <w:szCs w:val="20"/>
          <w:shd w:val="clear" w:color="auto" w:fill="FFFFFF"/>
          <w:lang w:val="en-US"/>
        </w:rPr>
        <w:t>ex</w:t>
      </w:r>
      <w:r w:rsidRPr="006207BE">
        <w:rPr>
          <w:rFonts w:asciiTheme="minorHAnsi" w:hAnsiTheme="minorHAnsi"/>
          <w:b w:val="0"/>
          <w:color w:val="222222"/>
          <w:sz w:val="20"/>
          <w:szCs w:val="20"/>
          <w:shd w:val="clear" w:color="auto" w:fill="FFFFFF"/>
        </w:rPr>
        <w:t xml:space="preserve"> </w:t>
      </w:r>
      <w:r w:rsidRPr="006207BE">
        <w:rPr>
          <w:rFonts w:asciiTheme="minorHAnsi" w:hAnsiTheme="minorHAnsi"/>
          <w:b w:val="0"/>
          <w:color w:val="222222"/>
          <w:sz w:val="20"/>
          <w:szCs w:val="20"/>
          <w:shd w:val="clear" w:color="auto" w:fill="FFFFFF"/>
          <w:lang w:val="en-US"/>
        </w:rPr>
        <w:t>officio</w:t>
      </w:r>
      <w:r w:rsidRPr="006207BE">
        <w:rPr>
          <w:rFonts w:asciiTheme="minorHAnsi" w:hAnsiTheme="minorHAnsi"/>
          <w:b w:val="0"/>
          <w:color w:val="222222"/>
          <w:sz w:val="20"/>
          <w:szCs w:val="20"/>
          <w:shd w:val="clear" w:color="auto" w:fill="FFFFFF"/>
        </w:rPr>
        <w:t xml:space="preserve"> απλουστευμένη, σε σχέση με τη συνήθη, διαδικασία ενώπιον του Πρωτοδικείου, καθόσον αφορά στην τυπικότητα της διαδικασίας και στην υποχρεωτική παράσταση με πληρεξούσιο Δικηγόρο, ενώ, δίδεται περισσότερη έμφαση στην προφορική διεξαγωγή, παρά στις γραπτές ανταλλαγές υπομνημάτων μεταξύ των διαδίκων. Επίσης, δεν μπορεί να ασκηθεί έφεση κατά αποφάσεως </w:t>
      </w:r>
      <w:r w:rsidRPr="006207BE">
        <w:rPr>
          <w:rFonts w:asciiTheme="minorHAnsi" w:hAnsiTheme="minorHAnsi"/>
          <w:b w:val="0"/>
          <w:color w:val="000000"/>
          <w:sz w:val="20"/>
          <w:szCs w:val="20"/>
          <w:shd w:val="clear" w:color="auto" w:fill="FFFFFF"/>
        </w:rPr>
        <w:t xml:space="preserve">που η απαίτηση δεν υπερβαίνει το ποσό των 1.750 ευρώ, ενώ, </w:t>
      </w:r>
      <w:r w:rsidRPr="006207BE">
        <w:rPr>
          <w:rStyle w:val="Strong"/>
          <w:rFonts w:asciiTheme="minorHAnsi" w:eastAsiaTheme="majorEastAsia" w:hAnsiTheme="minorHAnsi"/>
          <w:color w:val="000000"/>
          <w:sz w:val="20"/>
          <w:szCs w:val="20"/>
          <w:bdr w:val="none" w:sz="0" w:space="0" w:color="auto" w:frame="1"/>
          <w:shd w:val="clear" w:color="auto" w:fill="FFFFFF"/>
        </w:rPr>
        <w:t>ήδη, α</w:t>
      </w:r>
      <w:r w:rsidRPr="006207BE">
        <w:rPr>
          <w:rFonts w:asciiTheme="minorHAnsi" w:hAnsiTheme="minorHAnsi"/>
          <w:b w:val="0"/>
          <w:color w:val="222222"/>
          <w:sz w:val="20"/>
          <w:szCs w:val="20"/>
          <w:shd w:val="clear" w:color="auto" w:fill="FFFFFF"/>
        </w:rPr>
        <w:t>πό το 2014, μια υπόθεση μπορεί να ξεκινήσει και να διεξαχθεί ηλεκτρονικά στο δικαστήριο </w:t>
      </w:r>
      <w:hyperlink r:id="rId17" w:tooltip="Καντονικός δικαστής της ΕΚ (η σελίδα δεν υπάρχει)" w:history="1">
        <w:r w:rsidRPr="006207BE">
          <w:rPr>
            <w:rStyle w:val="Hyperlink"/>
            <w:rFonts w:asciiTheme="minorHAnsi" w:hAnsiTheme="minorHAnsi"/>
            <w:b w:val="0"/>
            <w:color w:val="auto"/>
            <w:sz w:val="20"/>
            <w:szCs w:val="20"/>
            <w:u w:val="none"/>
            <w:shd w:val="clear" w:color="auto" w:fill="FFFFFF"/>
          </w:rPr>
          <w:t>eCanton</w:t>
        </w:r>
      </w:hyperlink>
      <w:r w:rsidRPr="006207BE">
        <w:rPr>
          <w:rFonts w:asciiTheme="minorHAnsi" w:hAnsiTheme="minorHAnsi"/>
          <w:b w:val="0"/>
          <w:sz w:val="20"/>
          <w:szCs w:val="20"/>
        </w:rPr>
        <w:t xml:space="preserve">, εγγ. </w:t>
      </w:r>
      <w:r w:rsidRPr="006207BE">
        <w:rPr>
          <w:rFonts w:asciiTheme="minorHAnsi" w:hAnsiTheme="minorHAnsi"/>
          <w:b w:val="0"/>
          <w:sz w:val="20"/>
          <w:szCs w:val="20"/>
          <w:lang w:val="en-US"/>
        </w:rPr>
        <w:t xml:space="preserve">Kramer Xandra E. and Ontanu, Elena Alina, «The Functioning of the European Small Claims Procedure in the Netherlands: Normative and Empirical Reflections», Nederlands Internationaal Privaatrecht 3/2013, </w:t>
      </w:r>
      <w:r w:rsidRPr="006207BE">
        <w:rPr>
          <w:rFonts w:asciiTheme="minorHAnsi" w:hAnsiTheme="minorHAnsi"/>
          <w:b w:val="0"/>
          <w:sz w:val="20"/>
          <w:szCs w:val="20"/>
        </w:rPr>
        <w:t>σ</w:t>
      </w:r>
      <w:r w:rsidRPr="006207BE">
        <w:rPr>
          <w:rFonts w:asciiTheme="minorHAnsi" w:hAnsiTheme="minorHAnsi"/>
          <w:b w:val="0"/>
          <w:sz w:val="20"/>
          <w:szCs w:val="20"/>
          <w:lang w:val="en-US"/>
        </w:rPr>
        <w:t xml:space="preserve">. 320, </w:t>
      </w:r>
      <w:r w:rsidRPr="006207BE">
        <w:rPr>
          <w:rFonts w:asciiTheme="minorHAnsi" w:hAnsiTheme="minorHAnsi"/>
          <w:b w:val="0"/>
          <w:sz w:val="20"/>
          <w:szCs w:val="20"/>
        </w:rPr>
        <w:t>εγγ</w:t>
      </w:r>
      <w:r w:rsidRPr="006207BE">
        <w:rPr>
          <w:rFonts w:asciiTheme="minorHAnsi" w:hAnsiTheme="minorHAnsi"/>
          <w:b w:val="0"/>
          <w:sz w:val="20"/>
          <w:szCs w:val="20"/>
          <w:lang w:val="en-US"/>
        </w:rPr>
        <w:t xml:space="preserve">. Mirjam Freudenthal, Philip M. Langbroek «INTERNATIONAL COMPARATIVE STUDY ON ALLOCATION OF CASES TO AND WITHIN COURTS, The case of the Netherlands», Institute of Civil Law and Institute of Constitutional and Administrative law, Utrecht University, the Netherlands, </w:t>
      </w:r>
      <w:r w:rsidRPr="006207BE">
        <w:rPr>
          <w:rFonts w:asciiTheme="minorHAnsi" w:hAnsiTheme="minorHAnsi"/>
          <w:b w:val="0"/>
          <w:sz w:val="20"/>
          <w:szCs w:val="20"/>
        </w:rPr>
        <w:t>Ιούνιος</w:t>
      </w:r>
      <w:r w:rsidRPr="006207BE">
        <w:rPr>
          <w:rFonts w:asciiTheme="minorHAnsi" w:hAnsiTheme="minorHAnsi"/>
          <w:b w:val="0"/>
          <w:sz w:val="20"/>
          <w:szCs w:val="20"/>
          <w:lang w:val="en-US"/>
        </w:rPr>
        <w:t xml:space="preserve"> 2004. </w:t>
      </w:r>
      <w:r w:rsidRPr="006207BE">
        <w:rPr>
          <w:rFonts w:asciiTheme="minorHAnsi" w:hAnsiTheme="minorHAnsi"/>
          <w:b w:val="0"/>
          <w:sz w:val="20"/>
          <w:szCs w:val="20"/>
        </w:rPr>
        <w:t>Στην</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Ολλανδία</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επίσης</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δεν</w:t>
      </w:r>
      <w:r w:rsidRPr="006207BE">
        <w:rPr>
          <w:rFonts w:asciiTheme="minorHAnsi" w:hAnsiTheme="minorHAnsi"/>
          <w:b w:val="0"/>
          <w:sz w:val="20"/>
          <w:szCs w:val="20"/>
          <w:lang w:val="en-US"/>
        </w:rPr>
        <w:t xml:space="preserve"> </w:t>
      </w:r>
      <w:r w:rsidRPr="006207BE">
        <w:rPr>
          <w:rFonts w:asciiTheme="minorHAnsi" w:hAnsiTheme="minorHAnsi"/>
          <w:b w:val="0"/>
          <w:sz w:val="20"/>
          <w:szCs w:val="20"/>
        </w:rPr>
        <w:t>υφίσταται</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ειδική</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απλουστευμένη</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διαδικασία</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για</w:t>
      </w:r>
      <w:r w:rsidRPr="006207BE">
        <w:rPr>
          <w:rFonts w:asciiTheme="minorHAnsi" w:hAnsiTheme="minorHAnsi"/>
          <w:b w:val="0"/>
          <w:sz w:val="20"/>
          <w:szCs w:val="20"/>
          <w:lang w:val="en-US"/>
        </w:rPr>
        <w:t xml:space="preserve"> </w:t>
      </w:r>
      <w:r w:rsidRPr="006207BE">
        <w:rPr>
          <w:rFonts w:asciiTheme="minorHAnsi" w:hAnsiTheme="minorHAnsi"/>
          <w:b w:val="0"/>
          <w:sz w:val="20"/>
          <w:szCs w:val="20"/>
        </w:rPr>
        <w:t>την</w:t>
      </w:r>
      <w:r w:rsidRPr="006207BE">
        <w:rPr>
          <w:rFonts w:asciiTheme="minorHAnsi" w:hAnsiTheme="minorHAnsi"/>
          <w:b w:val="0"/>
          <w:sz w:val="20"/>
          <w:szCs w:val="20"/>
          <w:lang w:val="en-US"/>
        </w:rPr>
        <w:t xml:space="preserve"> </w:t>
      </w:r>
      <w:r w:rsidRPr="006207BE">
        <w:rPr>
          <w:rFonts w:asciiTheme="minorHAnsi" w:hAnsiTheme="minorHAnsi"/>
          <w:b w:val="0"/>
          <w:sz w:val="20"/>
          <w:szCs w:val="20"/>
        </w:rPr>
        <w:t>χορήγηση</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εκτελεστού</w:t>
      </w:r>
      <w:r w:rsidRPr="006207BE">
        <w:rPr>
          <w:rFonts w:asciiTheme="minorHAnsi" w:hAnsiTheme="minorHAnsi"/>
          <w:b w:val="0"/>
          <w:sz w:val="20"/>
          <w:szCs w:val="20"/>
          <w:lang w:val="en-US"/>
        </w:rPr>
        <w:t xml:space="preserve"> </w:t>
      </w:r>
      <w:r w:rsidRPr="006207BE">
        <w:rPr>
          <w:rFonts w:asciiTheme="minorHAnsi" w:hAnsiTheme="minorHAnsi"/>
          <w:b w:val="0"/>
          <w:sz w:val="20"/>
          <w:szCs w:val="20"/>
        </w:rPr>
        <w:t>τίτλου</w:t>
      </w:r>
      <w:r w:rsidRPr="006207BE">
        <w:rPr>
          <w:rFonts w:asciiTheme="minorHAnsi" w:hAnsiTheme="minorHAnsi"/>
          <w:b w:val="0"/>
          <w:sz w:val="20"/>
          <w:szCs w:val="20"/>
          <w:lang w:val="en-US"/>
        </w:rPr>
        <w:t xml:space="preserve">, η, δε, είσπραξη απαιτήσεων λαμβάνει χώρα </w:t>
      </w:r>
      <w:r w:rsidRPr="006207BE">
        <w:rPr>
          <w:rFonts w:asciiTheme="minorHAnsi" w:hAnsiTheme="minorHAnsi"/>
          <w:b w:val="0"/>
          <w:sz w:val="20"/>
          <w:szCs w:val="20"/>
        </w:rPr>
        <w:t>είτε</w:t>
      </w:r>
      <w:r w:rsidRPr="006207BE">
        <w:rPr>
          <w:rFonts w:asciiTheme="minorHAnsi" w:hAnsiTheme="minorHAnsi"/>
          <w:b w:val="0"/>
          <w:sz w:val="20"/>
          <w:szCs w:val="20"/>
          <w:lang w:val="en-US"/>
        </w:rPr>
        <w:t xml:space="preserve"> εξωδικαστικά, είτε με τις συνήθεις δικαστικές διαδικασίες, Freudenthal Μ., Money Debt Collection: A Comparison: In Search of the Basic Elements for a Netherlands Debt Collection Procedure, Journal of European and Comparative Law,1997.59. Η διαδικασία διαταγής πληρωμής (betalingsbevelprocedure),  που είχε υιοθετηθεί κατά το Γαλλικό πρότυπο της «injonction de payer», καταργήθηκε από το 1991, καθώς, δεν χρησιμοποιούνταν στην πράξη, Kramer Xandra E., Enhancing Enforcement in the European Union. The European Order for Payment Procedure and Its Implementation in the Member States, Particularly in Germany, the Netherlands, and England , C.H. van Rhee and A. Ucelac (eds), Enforcement and Enforceability. Tradition</w:t>
      </w:r>
      <w:r w:rsidRPr="006207BE">
        <w:rPr>
          <w:rFonts w:asciiTheme="minorHAnsi" w:hAnsiTheme="minorHAnsi"/>
          <w:b w:val="0"/>
          <w:sz w:val="20"/>
          <w:szCs w:val="20"/>
        </w:rPr>
        <w:t xml:space="preserve"> </w:t>
      </w:r>
      <w:r w:rsidRPr="006207BE">
        <w:rPr>
          <w:rFonts w:asciiTheme="minorHAnsi" w:hAnsiTheme="minorHAnsi"/>
          <w:b w:val="0"/>
          <w:sz w:val="20"/>
          <w:szCs w:val="20"/>
          <w:lang w:val="en-US"/>
        </w:rPr>
        <w:t>and</w:t>
      </w:r>
      <w:r w:rsidRPr="006207BE">
        <w:rPr>
          <w:rFonts w:asciiTheme="minorHAnsi" w:hAnsiTheme="minorHAnsi"/>
          <w:b w:val="0"/>
          <w:sz w:val="20"/>
          <w:szCs w:val="20"/>
        </w:rPr>
        <w:t xml:space="preserve"> </w:t>
      </w:r>
      <w:r w:rsidRPr="006207BE">
        <w:rPr>
          <w:rFonts w:asciiTheme="minorHAnsi" w:hAnsiTheme="minorHAnsi"/>
          <w:b w:val="0"/>
          <w:sz w:val="20"/>
          <w:szCs w:val="20"/>
          <w:lang w:val="en-US"/>
        </w:rPr>
        <w:t>Reform</w:t>
      </w:r>
      <w:r w:rsidRPr="006207BE">
        <w:rPr>
          <w:rFonts w:asciiTheme="minorHAnsi" w:hAnsiTheme="minorHAnsi"/>
          <w:b w:val="0"/>
          <w:sz w:val="20"/>
          <w:szCs w:val="20"/>
        </w:rPr>
        <w:t xml:space="preserve">, </w:t>
      </w:r>
      <w:r w:rsidRPr="006207BE">
        <w:rPr>
          <w:rFonts w:asciiTheme="minorHAnsi" w:hAnsiTheme="minorHAnsi"/>
          <w:b w:val="0"/>
          <w:sz w:val="20"/>
          <w:szCs w:val="20"/>
          <w:lang w:val="en-US"/>
        </w:rPr>
        <w:t>Antwerp</w:t>
      </w:r>
      <w:r w:rsidRPr="006207BE">
        <w:rPr>
          <w:rFonts w:asciiTheme="minorHAnsi" w:hAnsiTheme="minorHAnsi"/>
          <w:b w:val="0"/>
          <w:sz w:val="20"/>
          <w:szCs w:val="20"/>
        </w:rPr>
        <w:t xml:space="preserve"> </w:t>
      </w:r>
      <w:r w:rsidRPr="006207BE">
        <w:rPr>
          <w:rFonts w:asciiTheme="minorHAnsi" w:hAnsiTheme="minorHAnsi"/>
          <w:b w:val="0"/>
          <w:sz w:val="20"/>
          <w:szCs w:val="20"/>
          <w:lang w:val="en-US"/>
        </w:rPr>
        <w:t>Oxford</w:t>
      </w:r>
      <w:r w:rsidRPr="006207BE">
        <w:rPr>
          <w:rFonts w:asciiTheme="minorHAnsi" w:hAnsiTheme="minorHAnsi"/>
          <w:b w:val="0"/>
          <w:sz w:val="20"/>
          <w:szCs w:val="20"/>
        </w:rPr>
        <w:t>-</w:t>
      </w:r>
      <w:r w:rsidRPr="006207BE">
        <w:rPr>
          <w:rFonts w:asciiTheme="minorHAnsi" w:hAnsiTheme="minorHAnsi"/>
          <w:b w:val="0"/>
          <w:sz w:val="20"/>
          <w:szCs w:val="20"/>
          <w:lang w:val="en-US"/>
        </w:rPr>
        <w:t>Portland</w:t>
      </w:r>
      <w:r w:rsidRPr="006207BE">
        <w:rPr>
          <w:rFonts w:asciiTheme="minorHAnsi" w:hAnsiTheme="minorHAnsi"/>
          <w:b w:val="0"/>
          <w:sz w:val="20"/>
          <w:szCs w:val="20"/>
        </w:rPr>
        <w:t xml:space="preserve">, </w:t>
      </w:r>
      <w:r w:rsidRPr="006207BE">
        <w:rPr>
          <w:rFonts w:asciiTheme="minorHAnsi" w:hAnsiTheme="minorHAnsi"/>
          <w:b w:val="0"/>
          <w:sz w:val="20"/>
          <w:szCs w:val="20"/>
          <w:lang w:val="en-US"/>
        </w:rPr>
        <w:t>Intersentia</w:t>
      </w:r>
      <w:r w:rsidRPr="006207BE">
        <w:rPr>
          <w:rFonts w:asciiTheme="minorHAnsi" w:hAnsiTheme="minorHAnsi"/>
          <w:b w:val="0"/>
          <w:sz w:val="20"/>
          <w:szCs w:val="20"/>
        </w:rPr>
        <w:t xml:space="preserve">,2010.33. </w:t>
      </w:r>
      <w:r w:rsidRPr="006207BE">
        <w:rPr>
          <w:rFonts w:asciiTheme="minorHAnsi" w:hAnsiTheme="minorHAnsi"/>
          <w:b w:val="0"/>
          <w:sz w:val="20"/>
          <w:szCs w:val="20"/>
          <w:lang w:val="en-US"/>
        </w:rPr>
        <w:t> </w:t>
      </w:r>
      <w:r w:rsidRPr="006207BE">
        <w:rPr>
          <w:rFonts w:asciiTheme="minorHAnsi" w:hAnsiTheme="minorHAnsi"/>
          <w:b w:val="0"/>
          <w:sz w:val="20"/>
          <w:szCs w:val="20"/>
        </w:rPr>
        <w:t xml:space="preserve"> </w:t>
      </w:r>
    </w:p>
  </w:footnote>
  <w:footnote w:id="58">
    <w:p w:rsidR="00346644" w:rsidRPr="006207BE" w:rsidRDefault="00346644" w:rsidP="000B2E74">
      <w:pPr>
        <w:pStyle w:val="FootnoteText"/>
        <w:jc w:val="both"/>
        <w:rPr>
          <w:lang w:val="en-US"/>
        </w:rPr>
      </w:pPr>
      <w:r w:rsidRPr="006207BE">
        <w:rPr>
          <w:rStyle w:val="FootnoteReference"/>
        </w:rPr>
        <w:footnoteRef/>
      </w:r>
      <w:r w:rsidRPr="006207BE">
        <w:t xml:space="preserve"> Δεν υφίσταται συγκεκριμένη διαδικασία μικροδιαφορών, πλην, για αστικές υποθέσεις αξίας έως 2.000,00 ευρώ, δε διεξάγεται διαδικασία στο ακροατήριο, παρά «απλή αξιολόγησή» τους (</w:t>
      </w:r>
      <w:hyperlink r:id="rId18" w:history="1">
        <w:r w:rsidRPr="006207BE">
          <w:rPr>
            <w:rFonts w:cs="Times New Roman"/>
            <w:bCs/>
          </w:rPr>
          <w:t>https://e-justice.europa.eu/content_small_claims-42-sk-el.do?member=1</w:t>
        </w:r>
      </w:hyperlink>
      <w:r w:rsidRPr="006207BE">
        <w:rPr>
          <w:rFonts w:cs="Times New Roman"/>
          <w:bCs/>
        </w:rPr>
        <w:t>, με ημ. προσβ. 17.8.2019)</w:t>
      </w:r>
      <w:r w:rsidRPr="006207BE">
        <w:rPr>
          <w:rFonts w:cs="Times New Roman"/>
        </w:rPr>
        <w:t>, ενώ, προβλέπεται και η ταχεία διαδικασία για την έκδοση «διαταγής πληρωμής για μη αμφισβητούμενες αξιώσεις» στα αρ. 265 επ. ΣλοβακΚΠολΔ</w:t>
      </w:r>
      <w:r w:rsidRPr="006207BE">
        <w:rPr>
          <w:rFonts w:cs="Times New Roman"/>
          <w:lang w:val="en-US"/>
        </w:rPr>
        <w:t>,</w:t>
      </w:r>
      <w:r w:rsidRPr="006207BE">
        <w:rPr>
          <w:rFonts w:cs="Times New Roman"/>
          <w:b/>
          <w:bCs/>
          <w:lang w:val="en-US"/>
        </w:rPr>
        <w:t xml:space="preserve"> </w:t>
      </w:r>
      <w:r w:rsidRPr="006207BE">
        <w:rPr>
          <w:rFonts w:cs="Times New Roman"/>
          <w:bCs/>
        </w:rPr>
        <w:t>εγγ</w:t>
      </w:r>
      <w:r w:rsidRPr="006207BE">
        <w:rPr>
          <w:rFonts w:cs="Times New Roman"/>
          <w:bCs/>
          <w:lang w:val="en-US"/>
        </w:rPr>
        <w:t>. Vnukova J., «Evidence in Civil Law – Slovakia», Institute for Local Self-Government and Public Procurement, 2015</w:t>
      </w:r>
      <w:r w:rsidRPr="006207BE">
        <w:rPr>
          <w:rFonts w:cs="Times New Roman"/>
          <w:b/>
          <w:bCs/>
          <w:lang w:val="en-US"/>
        </w:rPr>
        <w:t>.</w:t>
      </w:r>
    </w:p>
  </w:footnote>
  <w:footnote w:id="59">
    <w:p w:rsidR="00346644" w:rsidRPr="006207BE" w:rsidRDefault="00346644" w:rsidP="007371B1">
      <w:pPr>
        <w:pStyle w:val="FootnoteText"/>
        <w:jc w:val="both"/>
        <w:rPr>
          <w:rFonts w:cs="Times New Roman"/>
          <w:lang w:val="en-US"/>
        </w:rPr>
      </w:pPr>
      <w:r w:rsidRPr="006207BE">
        <w:rPr>
          <w:rStyle w:val="FootnoteReference"/>
          <w:rFonts w:cs="Times New Roman"/>
        </w:rPr>
        <w:footnoteRef/>
      </w:r>
      <w:r w:rsidRPr="006207BE">
        <w:rPr>
          <w:rFonts w:cs="Times New Roman"/>
          <w:lang w:val="en-US"/>
        </w:rPr>
        <w:t xml:space="preserve"> </w:t>
      </w:r>
      <w:r w:rsidRPr="006207BE">
        <w:rPr>
          <w:rFonts w:cs="Times New Roman"/>
        </w:rPr>
        <w:t>αρ</w:t>
      </w:r>
      <w:r w:rsidRPr="006207BE">
        <w:rPr>
          <w:rFonts w:cs="Times New Roman"/>
          <w:lang w:val="en-US"/>
        </w:rPr>
        <w:t xml:space="preserve">. 171 </w:t>
      </w:r>
      <w:r w:rsidRPr="006207BE">
        <w:rPr>
          <w:rFonts w:cs="Times New Roman"/>
        </w:rPr>
        <w:t>ΑυστρΚΠολΔ</w:t>
      </w:r>
      <w:r w:rsidRPr="006207BE">
        <w:rPr>
          <w:rFonts w:cs="Times New Roman"/>
          <w:lang w:val="en-US"/>
        </w:rPr>
        <w:t xml:space="preserve"> (Zivilprozessordnung, ZPO). </w:t>
      </w:r>
    </w:p>
  </w:footnote>
  <w:footnote w:id="60">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lang w:val="en-US"/>
        </w:rPr>
        <w:t xml:space="preserve"> </w:t>
      </w:r>
      <w:r w:rsidRPr="006207BE">
        <w:rPr>
          <w:rFonts w:cs="Times New Roman"/>
        </w:rPr>
        <w:t>αρ</w:t>
      </w:r>
      <w:r w:rsidRPr="006207BE">
        <w:rPr>
          <w:rFonts w:cs="Times New Roman"/>
          <w:lang w:val="en-US"/>
        </w:rPr>
        <w:t xml:space="preserve">.  </w:t>
      </w:r>
      <w:r w:rsidRPr="006207BE">
        <w:rPr>
          <w:rFonts w:cs="Times New Roman"/>
        </w:rPr>
        <w:t>176 ΑυστρΚΠολΔ.</w:t>
      </w:r>
    </w:p>
  </w:footnote>
  <w:footnote w:id="61">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w:t>
      </w:r>
      <w:r w:rsidRPr="006207BE">
        <w:rPr>
          <w:rFonts w:cs="Times New Roman"/>
          <w:lang w:val="en-US"/>
        </w:rPr>
        <w:t>ratio</w:t>
      </w:r>
      <w:r w:rsidRPr="006207BE">
        <w:rPr>
          <w:rFonts w:cs="Times New Roman"/>
        </w:rPr>
        <w:t xml:space="preserve"> της υποχρεωτικότητας, μεταξύ άλλων, είναι ότι τα έξοδα της διαδικασίας μειώνονται για όλες τις περιπτώσεις στις οποίες ο οφειλέτης δεν μπορεί ή δεν επιθυμεί να εγείρει ουσιαστικές αντιρρήσεις σχετικά με την ισχυριζόμενη απαίτηση, αλλά, μέχρι στιγμής δεν έχει εκτελεσθεί λόγω αφερεγγυότητάς του ή άλλων λόγων, εγγ. Wolfgang Jelinek, Απλοποιημένη είσπραξη απαιτήσεων στην Αυστρία (Vereinfachte Forderungsbetreibung Österreich), διαθ. εδώ: </w:t>
      </w:r>
      <w:hyperlink r:id="rId19" w:history="1">
        <w:r w:rsidRPr="006207BE">
          <w:rPr>
            <w:rStyle w:val="Hyperlink"/>
            <w:rFonts w:cs="Times New Roman"/>
          </w:rPr>
          <w:t>https://www.pf.um.si/site/assets/files/3247/avstrija.pdf</w:t>
        </w:r>
      </w:hyperlink>
      <w:r w:rsidRPr="006207BE">
        <w:rPr>
          <w:rFonts w:cs="Times New Roman"/>
        </w:rPr>
        <w:t>, με ημ. προσβ. 29.7.2019.</w:t>
      </w:r>
    </w:p>
  </w:footnote>
  <w:footnote w:id="62">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«Mahnverfahren» ο όρος χρησιμοποιείται διαφορετικά από την γερμανική και, κατά κυριολεξία, σημαίνει «υπό όρους εντολής πληρωμής», άλλως, «πίεση είσπραξης οφειλής» κατά τον αγγλικό όρο «dunning» σε μετάφραση Μ. Χιωτάκης «Αγγλο-Ελληνικό Λεξικό Νομικών – Εμπορικών Όρων», εκδ. Δαίδαλος.</w:t>
      </w:r>
    </w:p>
  </w:footnote>
  <w:footnote w:id="63">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διαδικαστικές αποκλίσεις ισχύουν ενώπιον του Περιφερειακού Δικαστηρίου, κατ΄αρ. 448 ΑυστρΚΠολΔ, και ενώπιον του Εργατοδικείου, κατ΄αρ. 56 του ν. περί Εργατοδικείου (Gesamte Rechtsvorschrift für Arbeits-und Sozialgerichtsgesetz).</w:t>
      </w:r>
    </w:p>
  </w:footnote>
  <w:footnote w:id="64">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από το 2007. </w:t>
      </w:r>
    </w:p>
  </w:footnote>
  <w:footnote w:id="65">
    <w:p w:rsidR="00346644" w:rsidRPr="006207BE" w:rsidRDefault="00346644" w:rsidP="007371B1">
      <w:pPr>
        <w:pStyle w:val="FootnoteText"/>
        <w:rPr>
          <w:rFonts w:cs="Times New Roman"/>
        </w:rPr>
      </w:pPr>
      <w:r w:rsidRPr="006207BE">
        <w:rPr>
          <w:rStyle w:val="FootnoteReference"/>
        </w:rPr>
        <w:footnoteRef/>
      </w:r>
      <w:r w:rsidRPr="006207BE">
        <w:rPr>
          <w:rFonts w:cs="Times New Roman"/>
        </w:rPr>
        <w:t xml:space="preserve"> διαθ. εδώ: </w:t>
      </w:r>
      <w:hyperlink r:id="rId20" w:anchor="FormBlock" w:history="1">
        <w:r w:rsidRPr="006207BE">
          <w:rPr>
            <w:rStyle w:val="Hyperlink"/>
            <w:rFonts w:cs="Times New Roman"/>
          </w:rPr>
          <w:t>https://portal.justiz.gv.at/at.gv.justiz.formulare/Justiz/Geldleistung.aspx#FormBlock</w:t>
        </w:r>
      </w:hyperlink>
      <w:r w:rsidRPr="006207BE">
        <w:rPr>
          <w:rFonts w:cs="Times New Roman"/>
        </w:rPr>
        <w:t>, με ημ. προσβ. 29.7.2019.</w:t>
      </w:r>
    </w:p>
  </w:footnote>
  <w:footnote w:id="66">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κατ΄ αρ. 244 παρ. 2 ΑυστρΚΠολΔ η αίτηση απορρίπτεται για διαδικαστική προϋπόθεση, όπως αναρμοδιότητα, αν η αξίωση δεν έχει καταστεί ληξιπρόθεσμη ή τελεί υπό αντιπαροχή, είτε αν ο καθ’ ου είναι αγνώστης διαμονής ή κάτοικος εξωτερικού. </w:t>
      </w:r>
    </w:p>
  </w:footnote>
  <w:footnote w:id="67">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αρ. 247 ΑυστρΚΠολΔ.</w:t>
      </w:r>
    </w:p>
  </w:footnote>
  <w:footnote w:id="68">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υπό όρους, διότι καθίσταται εκτελεστή, μόνο αν δεν προβληθούν αντιρρήσεις σε βάρος της.</w:t>
      </w:r>
    </w:p>
  </w:footnote>
  <w:footnote w:id="69">
    <w:p w:rsidR="00346644" w:rsidRPr="006207BE" w:rsidRDefault="00346644" w:rsidP="007371B1">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rPr>
        <w:t xml:space="preserve">αρ. 246 ΑυστρΚΠολΔ. </w:t>
      </w:r>
    </w:p>
  </w:footnote>
  <w:footnote w:id="70">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αρ.  247 παρ. 3 ΑυστρΚΠολΔ, εκτός, αν αφορά αποκλειστικά στα έξοδά της. </w:t>
      </w:r>
    </w:p>
  </w:footnote>
  <w:footnote w:id="71">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αρ.  249 παρ. 2, 257 επ. ΑυστρΚΠολΔ.</w:t>
      </w:r>
    </w:p>
  </w:footnote>
  <w:footnote w:id="72">
    <w:p w:rsidR="00346644" w:rsidRPr="006207BE" w:rsidRDefault="00346644" w:rsidP="007371B1">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rPr>
        <w:t>αρ.  249 παρ. 1 εδ. τελ. ΑυστρΚΠολΔ .</w:t>
      </w:r>
    </w:p>
  </w:footnote>
  <w:footnote w:id="73">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αρ. 1 περ. 3 ν. περί την εκτέλεση (Exekutionordnung) </w:t>
      </w:r>
    </w:p>
  </w:footnote>
  <w:footnote w:id="74">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αρ. 49 επ. του Νόμου σχετικά με τη δικαιοδοσία των τακτικών δικαστηρίων σε αστικές υποθέσεις (</w:t>
      </w:r>
      <w:r w:rsidRPr="006207BE">
        <w:rPr>
          <w:rFonts w:cs="Times New Roman"/>
          <w:lang w:val="en-US"/>
        </w:rPr>
        <w:t>Jurisdiktionsnorm</w:t>
      </w:r>
      <w:r w:rsidRPr="006207BE">
        <w:rPr>
          <w:rFonts w:cs="Times New Roman"/>
        </w:rPr>
        <w:t xml:space="preserve">, </w:t>
      </w:r>
      <w:r w:rsidRPr="006207BE">
        <w:rPr>
          <w:rFonts w:cs="Times New Roman"/>
          <w:lang w:val="en-US"/>
        </w:rPr>
        <w:t>JN</w:t>
      </w:r>
      <w:r w:rsidRPr="006207BE">
        <w:rPr>
          <w:rFonts w:cs="Times New Roman"/>
        </w:rPr>
        <w:t xml:space="preserve">), και ανεξαρτήτως αξίας για θέματα Οικογενειακού Δικαίου, εταιρικές διαφορές, μισθωτικές και υποθέσεις εκουσίας δικαιοδοσίας. </w:t>
      </w:r>
    </w:p>
  </w:footnote>
  <w:footnote w:id="75">
    <w:p w:rsidR="00346644" w:rsidRPr="006207BE" w:rsidRDefault="00346644" w:rsidP="007371B1">
      <w:pPr>
        <w:pStyle w:val="FootnoteText"/>
      </w:pPr>
      <w:r w:rsidRPr="006207BE">
        <w:rPr>
          <w:rStyle w:val="FootnoteReference"/>
        </w:rPr>
        <w:footnoteRef/>
      </w:r>
      <w:r w:rsidRPr="006207BE">
        <w:t xml:space="preserve"> </w:t>
      </w:r>
      <w:r w:rsidRPr="006207BE">
        <w:rPr>
          <w:rFonts w:cs="Times New Roman"/>
        </w:rPr>
        <w:t>Πράσινο Βιβλίο, ό.π., σ. 43, Ποδηματά, ό.π., σημ. 199, σ. 67.</w:t>
      </w:r>
    </w:p>
  </w:footnote>
  <w:footnote w:id="76">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 xml:space="preserve">η οποία μπορεί κατατεθεί στο Δικαστήριο του τόπου κατοικίας του ενάγοντα, το οποίο προσδιορίζει το αρμόδιο και αποστέλλει την αγωγή, Πράσινο Βιβλίο, ό.π., σ. 59. </w:t>
      </w:r>
    </w:p>
  </w:footnote>
  <w:footnote w:id="77">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η οποία παρέχεται από ειδική υπηρεσία για την κίνηση της διαδικασίας και από το Δικαστή κατά την ακροαματική διαδικασία, Πράσινο Βιβλίο, ό.π., σ. 60.</w:t>
      </w:r>
    </w:p>
  </w:footnote>
  <w:footnote w:id="78">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για διαφορές έως το ποσό των 1.000,00 ευρώ το Δικαστήριο μπορεί να απορρίψει τη διεξαγωγή αποδείξεων που πρότεινε διάδικος, Πράσινο Βιβλίο, ό.π., σ. 62.</w:t>
      </w:r>
      <w:r w:rsidRPr="006207BE">
        <w:t xml:space="preserve"> </w:t>
      </w:r>
    </w:p>
  </w:footnote>
  <w:footnote w:id="79">
    <w:p w:rsidR="00346644" w:rsidRPr="006207BE" w:rsidRDefault="00346644" w:rsidP="007371B1">
      <w:pPr>
        <w:pStyle w:val="FootnoteText"/>
      </w:pPr>
      <w:r w:rsidRPr="006207BE">
        <w:rPr>
          <w:rStyle w:val="FootnoteReference"/>
        </w:rPr>
        <w:footnoteRef/>
      </w:r>
      <w:r w:rsidRPr="006207BE">
        <w:t xml:space="preserve"> </w:t>
      </w:r>
      <w:r w:rsidRPr="006207BE">
        <w:rPr>
          <w:rFonts w:cs="Times New Roman"/>
        </w:rPr>
        <w:t>Πράσινο Βιβλίο, ό.π., σ. 57.</w:t>
      </w:r>
    </w:p>
  </w:footnote>
  <w:footnote w:id="80">
    <w:p w:rsidR="00346644" w:rsidRPr="006207BE" w:rsidRDefault="00346644" w:rsidP="007371B1">
      <w:pPr>
        <w:pStyle w:val="FootnoteText"/>
      </w:pPr>
      <w:r w:rsidRPr="006207BE">
        <w:rPr>
          <w:rStyle w:val="FootnoteReference"/>
        </w:rPr>
        <w:footnoteRef/>
      </w:r>
      <w:r w:rsidRPr="006207BE">
        <w:t xml:space="preserve"> </w:t>
      </w:r>
      <w:r w:rsidRPr="006207BE">
        <w:rPr>
          <w:rFonts w:cs="Times New Roman"/>
          <w:color w:val="333333"/>
          <w:shd w:val="clear" w:color="auto" w:fill="FFFFFF"/>
        </w:rPr>
        <w:t>Πράσινο Βιβλίο, ό.π., σ. 64.</w:t>
      </w:r>
    </w:p>
  </w:footnote>
  <w:footnote w:id="81">
    <w:p w:rsidR="00346644" w:rsidRPr="006207BE" w:rsidRDefault="00346644" w:rsidP="007371B1">
      <w:pPr>
        <w:pStyle w:val="FootnoteText"/>
      </w:pPr>
      <w:r w:rsidRPr="006207BE">
        <w:rPr>
          <w:rStyle w:val="FootnoteReference"/>
        </w:rPr>
        <w:footnoteRef/>
      </w:r>
      <w:r w:rsidRPr="006207BE">
        <w:t xml:space="preserve"> </w:t>
      </w:r>
      <w:r w:rsidRPr="006207BE">
        <w:rPr>
          <w:rFonts w:cs="Times New Roman"/>
          <w:color w:val="333333"/>
          <w:shd w:val="clear" w:color="auto" w:fill="FFFFFF"/>
        </w:rPr>
        <w:t>η μη τήρησή της, πάντως, δεν επιφέρει συνέπειες, Πράσινο Βιβλίο, ό.π., σ. 63.</w:t>
      </w:r>
    </w:p>
  </w:footnote>
  <w:footnote w:id="82">
    <w:p w:rsidR="00346644" w:rsidRPr="006207BE" w:rsidRDefault="00346644">
      <w:pPr>
        <w:pStyle w:val="FootnoteText"/>
      </w:pPr>
      <w:r w:rsidRPr="006207BE">
        <w:rPr>
          <w:rStyle w:val="FootnoteReference"/>
        </w:rPr>
        <w:footnoteRef/>
      </w:r>
      <w:r w:rsidRPr="006207BE">
        <w:t xml:space="preserve"> Δεν πρόκειται για, αμιγώς, διαδικασία μικροδιαφορών, δηλαδή, Πράσινο Βιβλίο, ό.π., σ.57.</w:t>
      </w:r>
    </w:p>
  </w:footnote>
  <w:footnote w:id="83">
    <w:p w:rsidR="00346644" w:rsidRPr="006207BE" w:rsidRDefault="00346644" w:rsidP="00931119">
      <w:pPr>
        <w:pStyle w:val="FootnoteText"/>
        <w:jc w:val="both"/>
        <w:rPr>
          <w:rFonts w:cs="Times New Roman"/>
        </w:rPr>
      </w:pPr>
      <w:r w:rsidRPr="006207BE">
        <w:rPr>
          <w:rStyle w:val="FootnoteReference"/>
        </w:rPr>
        <w:footnoteRef/>
      </w:r>
      <w:r w:rsidRPr="006207BE">
        <w:rPr>
          <w:rFonts w:cs="Times New Roman"/>
        </w:rPr>
        <w:t xml:space="preserve"> «Τribunal d’instance»To οποίο κατά το το αρ. L 221-1 επ. του Code de l'Organisation judiciaire (COJ), είναι αρμόδιο για τις αστικές διαφορές έως το ποσό των 10.000,00 ευρώ, ανεξαρτήτως, δε, αξίας για τις μισθώσεις, για υποθέσεις καταναλωτικής πίστης από το ποσό των 200 ευρώ έως 75.000 ευρώ, σύμφωνα με το αρ. L.</w:t>
      </w:r>
      <w:r w:rsidRPr="006207BE">
        <w:rPr>
          <w:rFonts w:cs="Times New Roman"/>
          <w:color w:val="333333"/>
          <w:shd w:val="clear" w:color="auto" w:fill="FFFFFF"/>
        </w:rPr>
        <w:t xml:space="preserve"> 311-52 του Κώδικα Καταναλωτών (Code de la consommation), καθώς, και για την Ευρωπαϊκή Διαδικασία Μικροδιαφορών του Καν. ΕΕ 861/2007.</w:t>
      </w:r>
    </w:p>
  </w:footnote>
  <w:footnote w:id="84">
    <w:p w:rsidR="00346644" w:rsidRPr="006207BE" w:rsidRDefault="00346644" w:rsidP="007371B1">
      <w:pPr>
        <w:pStyle w:val="FootnoteText"/>
        <w:jc w:val="both"/>
        <w:rPr>
          <w:rFonts w:cs="Times New Roman"/>
        </w:rPr>
      </w:pPr>
      <w:r w:rsidRPr="006207BE">
        <w:rPr>
          <w:rStyle w:val="FootnoteReference"/>
        </w:rPr>
        <w:footnoteRef/>
      </w:r>
      <w:r w:rsidRPr="006207BE">
        <w:rPr>
          <w:rStyle w:val="FootnoteReference"/>
        </w:rPr>
        <w:t xml:space="preserve"> </w:t>
      </w:r>
      <w:r w:rsidRPr="006207BE">
        <w:rPr>
          <w:rFonts w:cs="Times New Roman"/>
        </w:rPr>
        <w:t>«déclaration au greffe», μέχρι την 1 Ιουλίου 2017 η «δήλωση στην γραμματεία» ανήκε στην αποκλειστική αρμοδιότητα του «juge de proximite», θεσμός ο οποίος, ήδη, έχει καταργηθεί και ο οποίος είχε αντικαταστήσει, σταδιακά, από το 2002 τον θεσμό του Ειρηνοδίκη «</w:t>
      </w:r>
      <w:r w:rsidRPr="006207BE">
        <w:rPr>
          <w:rFonts w:cs="Times New Roman"/>
          <w:lang w:val="en-US"/>
        </w:rPr>
        <w:t>juge</w:t>
      </w:r>
      <w:r w:rsidRPr="006207BE">
        <w:rPr>
          <w:rFonts w:cs="Times New Roman"/>
        </w:rPr>
        <w:t xml:space="preserve"> </w:t>
      </w:r>
      <w:r w:rsidRPr="006207BE">
        <w:rPr>
          <w:rFonts w:cs="Times New Roman"/>
          <w:lang w:val="en-US"/>
        </w:rPr>
        <w:t>de</w:t>
      </w:r>
      <w:r w:rsidRPr="006207BE">
        <w:rPr>
          <w:rFonts w:cs="Times New Roman"/>
        </w:rPr>
        <w:t xml:space="preserve"> </w:t>
      </w:r>
      <w:r w:rsidRPr="006207BE">
        <w:rPr>
          <w:rFonts w:cs="Times New Roman"/>
          <w:lang w:val="en-US"/>
        </w:rPr>
        <w:t>paix</w:t>
      </w:r>
      <w:r w:rsidRPr="006207BE">
        <w:rPr>
          <w:rFonts w:cs="Times New Roman"/>
        </w:rPr>
        <w:t>».</w:t>
      </w:r>
    </w:p>
  </w:footnote>
  <w:footnote w:id="85">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το Ακυρωτικό Δικαστήριο με την υπ’ αρ. 14-29117 απ. της 28</w:t>
      </w:r>
      <w:r w:rsidRPr="006207BE">
        <w:rPr>
          <w:rFonts w:cs="Times New Roman"/>
          <w:vertAlign w:val="superscript"/>
        </w:rPr>
        <w:t>ης</w:t>
      </w:r>
      <w:r w:rsidRPr="006207BE">
        <w:rPr>
          <w:rFonts w:cs="Times New Roman"/>
        </w:rPr>
        <w:t xml:space="preserve"> Ιανουαρίου 2016, έκρινε οτι στην διαδικασία «δήλωσης στην γραμματεία» μπορούν να υπαχθούν μόνο κύριες αιτήσεις που δεν υπερβαίνουν το ποσό των 4.000,00 ευρώ και ουχί όταν αυτές σωρεύονται επικουρικά, ως αποζημίωση, για την περίπτωση αδυναμίας αυτούσιας απόδοσης πράγματος, όπως συνέβη στην επίδικη περίπτωση, κατά την οποία καταναλωτές αιτήθηκαν απόδοση δύο ηλεκτρονικών συσκευών και, επικουρικώς, αποζημίωσή τους για αυτές, ποσού 1.068 ευρώ.</w:t>
      </w:r>
    </w:p>
  </w:footnote>
  <w:footnote w:id="86">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w:t>
      </w:r>
      <w:r w:rsidRPr="006207BE">
        <w:rPr>
          <w:rFonts w:cs="Times New Roman"/>
          <w:lang w:val="en-US"/>
        </w:rPr>
        <w:t>Code</w:t>
      </w:r>
      <w:r w:rsidRPr="006207BE">
        <w:rPr>
          <w:rFonts w:cs="Times New Roman"/>
        </w:rPr>
        <w:t xml:space="preserve"> </w:t>
      </w:r>
      <w:r w:rsidRPr="006207BE">
        <w:rPr>
          <w:rFonts w:cs="Times New Roman"/>
          <w:lang w:val="en-US"/>
        </w:rPr>
        <w:t>de</w:t>
      </w:r>
      <w:r w:rsidRPr="006207BE">
        <w:rPr>
          <w:rFonts w:cs="Times New Roman"/>
        </w:rPr>
        <w:t xml:space="preserve"> </w:t>
      </w:r>
      <w:r w:rsidRPr="006207BE">
        <w:rPr>
          <w:rFonts w:cs="Times New Roman"/>
          <w:lang w:val="en-US"/>
        </w:rPr>
        <w:t>procedure</w:t>
      </w:r>
      <w:r w:rsidRPr="006207BE">
        <w:rPr>
          <w:rFonts w:cs="Times New Roman"/>
        </w:rPr>
        <w:t xml:space="preserve"> </w:t>
      </w:r>
      <w:r w:rsidRPr="006207BE">
        <w:rPr>
          <w:rFonts w:cs="Times New Roman"/>
          <w:lang w:val="en-US"/>
        </w:rPr>
        <w:t>Civile</w:t>
      </w:r>
      <w:r w:rsidRPr="006207BE">
        <w:rPr>
          <w:rFonts w:cs="Times New Roman"/>
        </w:rPr>
        <w:t>».</w:t>
      </w:r>
    </w:p>
  </w:footnote>
  <w:footnote w:id="87">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διαθέσιμο στις Γραμματείες του Πρωτοδικείου ή ηλεκτρονικά στο Υπ. Δικαιοσύνης, διαθ. εδώ: </w:t>
      </w:r>
      <w:hyperlink r:id="rId21" w:history="1">
        <w:r w:rsidRPr="006207BE">
          <w:rPr>
            <w:rStyle w:val="Hyperlink"/>
            <w:rFonts w:cs="Times New Roman"/>
          </w:rPr>
          <w:t>https://www.formulaires.modernisation.gouv.fr/gf/cerfa_11764.do</w:t>
        </w:r>
      </w:hyperlink>
      <w:r w:rsidRPr="006207BE">
        <w:rPr>
          <w:rFonts w:cs="Times New Roman"/>
        </w:rPr>
        <w:t>, με ημ. πρ. 15.7.2019.</w:t>
      </w:r>
    </w:p>
  </w:footnote>
  <w:footnote w:id="88">
    <w:p w:rsidR="00346644" w:rsidRPr="006207BE" w:rsidRDefault="00346644" w:rsidP="007371B1">
      <w:pPr>
        <w:pStyle w:val="FootnoteText"/>
        <w:jc w:val="both"/>
        <w:rPr>
          <w:rFonts w:cs="Times New Roman"/>
          <w:b/>
        </w:rPr>
      </w:pPr>
      <w:r w:rsidRPr="006207BE">
        <w:rPr>
          <w:rStyle w:val="FootnoteReference"/>
          <w:rFonts w:cs="Times New Roman"/>
        </w:rPr>
        <w:footnoteRef/>
      </w:r>
      <w:r w:rsidRPr="006207BE">
        <w:rPr>
          <w:rFonts w:cs="Times New Roman"/>
        </w:rPr>
        <w:t xml:space="preserve"> Σύμφωνα με τα αρ. 18 επ. του υπ’ αρ</w:t>
      </w:r>
      <w:r w:rsidRPr="006207BE">
        <w:rPr>
          <w:rStyle w:val="Strong"/>
          <w:rFonts w:cs="Times New Roman"/>
          <w:color w:val="000000"/>
          <w:shd w:val="clear" w:color="auto" w:fill="FFFFFF"/>
        </w:rPr>
        <w:t xml:space="preserve">. </w:t>
      </w:r>
      <w:r w:rsidRPr="006207BE">
        <w:rPr>
          <w:rStyle w:val="Strong"/>
          <w:rFonts w:cs="Times New Roman"/>
          <w:b w:val="0"/>
          <w:color w:val="000000"/>
          <w:shd w:val="clear" w:color="auto" w:fill="FFFFFF"/>
        </w:rPr>
        <w:t>2015-282 διατάγματος της 11ης Μαρτίου 2015 «για την απλούστευση της πολιτικής διαδικασίας ηλεκτρονικών επικοινωνιών και τη φιλική επίλυση των διαφορών»</w:t>
      </w:r>
      <w:r w:rsidRPr="006207BE">
        <w:rPr>
          <w:rFonts w:cs="Times New Roman"/>
          <w:b/>
          <w:color w:val="000000"/>
          <w:shd w:val="clear" w:color="auto" w:fill="FFFFFF"/>
        </w:rPr>
        <w:t xml:space="preserve"> </w:t>
      </w:r>
      <w:r w:rsidRPr="006207BE">
        <w:rPr>
          <w:rFonts w:cs="Times New Roman"/>
          <w:color w:val="000000"/>
          <w:shd w:val="clear" w:color="auto" w:fill="FFFFFF"/>
        </w:rPr>
        <w:t>(JORF αριθ. 0062 της 14ης Μαρτίου 2015, σελ. 4851 </w:t>
      </w:r>
      <w:r w:rsidRPr="006207BE">
        <w:rPr>
          <w:rFonts w:cs="Times New Roman"/>
          <w:color w:val="000000"/>
        </w:rPr>
        <w:br/>
      </w:r>
      <w:r w:rsidRPr="006207BE">
        <w:rPr>
          <w:rFonts w:cs="Times New Roman"/>
          <w:color w:val="000000"/>
          <w:shd w:val="clear" w:color="auto" w:fill="FFFFFF"/>
        </w:rPr>
        <w:t>κείμενο αρ. 16) </w:t>
      </w:r>
      <w:r w:rsidRPr="006207BE">
        <w:rPr>
          <w:rStyle w:val="Strong"/>
          <w:rFonts w:cs="Times New Roman"/>
          <w:color w:val="000000"/>
          <w:shd w:val="clear" w:color="auto" w:fill="FFFFFF"/>
        </w:rPr>
        <w:t xml:space="preserve">, </w:t>
      </w:r>
      <w:r w:rsidRPr="006207BE">
        <w:rPr>
          <w:rFonts w:cs="Times New Roman"/>
          <w:b/>
          <w:color w:val="000000"/>
          <w:shd w:val="clear" w:color="auto" w:fill="FFFFFF"/>
        </w:rPr>
        <w:t> </w:t>
      </w:r>
      <w:r w:rsidRPr="006207BE">
        <w:rPr>
          <w:rFonts w:cs="Times New Roman"/>
          <w:color w:val="000000"/>
          <w:shd w:val="clear" w:color="auto" w:fill="FFFFFF"/>
        </w:rPr>
        <w:t>η απευθείας εισαγωγή υπόθεσης στο Δικαστήριο δικαιολογείται μόνο</w:t>
      </w:r>
      <w:r w:rsidRPr="006207BE">
        <w:rPr>
          <w:rFonts w:cs="Times New Roman"/>
          <w:b/>
          <w:color w:val="000000"/>
          <w:shd w:val="clear" w:color="auto" w:fill="FFFFFF"/>
        </w:rPr>
        <w:t xml:space="preserve"> </w:t>
      </w:r>
      <w:r w:rsidRPr="006207BE">
        <w:rPr>
          <w:rFonts w:cs="Times New Roman"/>
          <w:color w:val="000000"/>
          <w:shd w:val="clear" w:color="auto" w:fill="FFFFFF"/>
        </w:rPr>
        <w:t>για νόμιμο λόγο σχετικά με το επείγον ή το αντικείμενο της υπόθεσης, επί ελλείψει των οποίων ο Δικαστής καθορίζει τα μέτρα που πρέπει να ληφθούν για την επίτευξη φιλικού διακανονισμού, προ συζητήσεως της υπόθεσης, ενώ, ήδη,</w:t>
      </w:r>
      <w:r w:rsidRPr="006207BE">
        <w:rPr>
          <w:rStyle w:val="Hyperlink"/>
          <w:rFonts w:cs="Times New Roman"/>
          <w:color w:val="000000"/>
          <w:u w:val="none"/>
          <w:shd w:val="clear" w:color="auto" w:fill="FFFFFF"/>
        </w:rPr>
        <w:t xml:space="preserve"> με τον </w:t>
      </w:r>
      <w:r w:rsidRPr="006207BE">
        <w:rPr>
          <w:rStyle w:val="Strong"/>
          <w:rFonts w:cs="Times New Roman"/>
          <w:b w:val="0"/>
          <w:color w:val="000000"/>
          <w:shd w:val="clear" w:color="auto" w:fill="FFFFFF"/>
        </w:rPr>
        <w:t>Νόμο αριθ. 2016-1547 της 18ης Νοεμβρίου 2016 «για τον εκσυγχρονισμό της δικαιοσύνης του 21ου αιώνα» (</w:t>
      </w:r>
      <w:r w:rsidRPr="006207BE">
        <w:rPr>
          <w:rStyle w:val="Strong"/>
          <w:b w:val="0"/>
          <w:color w:val="000000"/>
          <w:shd w:val="clear" w:color="auto" w:fill="FFFFFF"/>
          <w:lang w:val="en-US"/>
        </w:rPr>
        <w:t>JORF</w:t>
      </w:r>
      <w:r w:rsidRPr="006207BE">
        <w:rPr>
          <w:rStyle w:val="Strong"/>
          <w:color w:val="000000"/>
          <w:shd w:val="clear" w:color="auto" w:fill="FFFFFF"/>
        </w:rPr>
        <w:t xml:space="preserve"> </w:t>
      </w:r>
      <w:r w:rsidRPr="006207BE">
        <w:rPr>
          <w:rFonts w:cs="Times New Roman"/>
          <w:color w:val="000000"/>
          <w:shd w:val="clear" w:color="auto" w:fill="FFFFFF"/>
        </w:rPr>
        <w:t>αριθ. 0269 της 19ης Νοεμβρίου 2016)</w:t>
      </w:r>
      <w:r w:rsidRPr="006207BE">
        <w:rPr>
          <w:rFonts w:cs="Times New Roman"/>
          <w:b/>
          <w:color w:val="000000"/>
          <w:shd w:val="clear" w:color="auto" w:fill="FFFFFF"/>
        </w:rPr>
        <w:t xml:space="preserve"> </w:t>
      </w:r>
      <w:r w:rsidRPr="006207BE">
        <w:rPr>
          <w:rFonts w:cs="Times New Roman"/>
          <w:color w:val="000000"/>
          <w:shd w:val="clear" w:color="auto" w:fill="FFFFFF"/>
        </w:rPr>
        <w:t>για την παραπομπή «δήλωσης στην γραμματεία» του πρωτοβάθμιου δικαστήριου πρέπει να προηγείται προσπάθεια συμβιβασμού, εκτός εάν η έλλειψη προσφυγής σε συνδιαλλαγή δικαιολογείται, μεταξύ άλλων, από «νόμιμο κίνητρο».</w:t>
      </w:r>
    </w:p>
  </w:footnote>
  <w:footnote w:id="89">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προφορικά, με </w:t>
      </w:r>
      <w:r w:rsidRPr="006207BE">
        <w:rPr>
          <w:rFonts w:cs="Times New Roman"/>
          <w:lang w:val="en-US"/>
        </w:rPr>
        <w:t>e</w:t>
      </w:r>
      <w:r w:rsidRPr="006207BE">
        <w:rPr>
          <w:rFonts w:cs="Times New Roman"/>
        </w:rPr>
        <w:t xml:space="preserve"> – </w:t>
      </w:r>
      <w:r w:rsidRPr="006207BE">
        <w:rPr>
          <w:rFonts w:cs="Times New Roman"/>
          <w:lang w:val="en-US"/>
        </w:rPr>
        <w:t>mail</w:t>
      </w:r>
      <w:r w:rsidRPr="006207BE">
        <w:rPr>
          <w:rFonts w:cs="Times New Roman"/>
        </w:rPr>
        <w:t xml:space="preserve"> ή και </w:t>
      </w:r>
      <w:r w:rsidRPr="006207BE">
        <w:rPr>
          <w:rFonts w:cs="Times New Roman"/>
          <w:lang w:val="en-US"/>
        </w:rPr>
        <w:t>sms</w:t>
      </w:r>
      <w:r w:rsidRPr="006207BE">
        <w:rPr>
          <w:rFonts w:cs="Times New Roman"/>
        </w:rPr>
        <w:t xml:space="preserve">, εφόσον έχει αποδεχτεί τέτοια επικοινωνία, κατά το αρ. 748-8 ΓαλλΚΠολΔ. </w:t>
      </w:r>
    </w:p>
  </w:footnote>
  <w:footnote w:id="90">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w:t>
      </w:r>
      <w:r w:rsidRPr="006207BE">
        <w:rPr>
          <w:rFonts w:cs="Times New Roman"/>
          <w:lang w:val="en-US"/>
        </w:rPr>
        <w:t>ratio</w:t>
      </w:r>
      <w:r w:rsidRPr="006207BE">
        <w:rPr>
          <w:rFonts w:cs="Times New Roman"/>
        </w:rPr>
        <w:t xml:space="preserve"> της «δήλωσης στον γραμματέα» αποτελεί ακριβώς αυτό, ότι ο ενάγων δεν επιβαρύνεται με έξοδα επίδοσης της αγωγής του με δικαστικό επιμελητή, τα οποία, συχνά, είναι δυσανάλογα με την αξίωσή του.  </w:t>
      </w:r>
    </w:p>
  </w:footnote>
  <w:footnote w:id="91">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ο δικαστής, πάντως, και στο σημείο αυτό προσπαθεί να επιτύχει συμβιβασμό μεταξύ των διαδίκων και μπορεί, με τη σύμφωνη γνώμη τους, να ορίσει δικαστικό μεσολαβητή.</w:t>
      </w:r>
    </w:p>
  </w:footnote>
  <w:footnote w:id="92">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αρ. 827 ΓαλλΚΠολΔ. </w:t>
      </w:r>
    </w:p>
  </w:footnote>
  <w:footnote w:id="93">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για την εκούσια αντιπροσώπευση χρειάζεται ειδική εξουσιοδότηση, κατ΄αρ. 828 </w:t>
      </w:r>
      <w:r w:rsidRPr="006207BE">
        <w:rPr>
          <w:rFonts w:cs="Times New Roman"/>
          <w:lang w:val="en-US"/>
        </w:rPr>
        <w:t>in</w:t>
      </w:r>
      <w:r w:rsidRPr="006207BE">
        <w:rPr>
          <w:rFonts w:cs="Times New Roman"/>
        </w:rPr>
        <w:t xml:space="preserve"> </w:t>
      </w:r>
      <w:r w:rsidRPr="006207BE">
        <w:rPr>
          <w:rFonts w:cs="Times New Roman"/>
          <w:lang w:val="en-US"/>
        </w:rPr>
        <w:t>ifine</w:t>
      </w:r>
      <w:r w:rsidRPr="006207BE">
        <w:rPr>
          <w:rFonts w:cs="Times New Roman"/>
        </w:rPr>
        <w:t xml:space="preserve"> ΓαλλΚΠολΔ. </w:t>
      </w:r>
    </w:p>
  </w:footnote>
  <w:footnote w:id="94">
    <w:p w:rsidR="00346644" w:rsidRPr="006207BE" w:rsidRDefault="00346644" w:rsidP="007371B1">
      <w:pPr>
        <w:pStyle w:val="FootnoteText"/>
        <w:jc w:val="both"/>
        <w:rPr>
          <w:rFonts w:cs="Times New Roman"/>
        </w:rPr>
      </w:pPr>
      <w:r w:rsidRPr="006207BE">
        <w:rPr>
          <w:rStyle w:val="FootnoteReference"/>
          <w:rFonts w:cs="Times New Roman"/>
        </w:rPr>
        <w:footnoteRef/>
      </w:r>
      <w:r w:rsidRPr="006207BE">
        <w:rPr>
          <w:rFonts w:cs="Times New Roman"/>
        </w:rPr>
        <w:t xml:space="preserve"> αρ. 828 ΓαλλΚΠολΔ.  </w:t>
      </w:r>
    </w:p>
  </w:footnote>
  <w:footnote w:id="95">
    <w:p w:rsidR="00346644" w:rsidRPr="006207BE" w:rsidRDefault="00346644" w:rsidP="007371B1">
      <w:pPr>
        <w:pStyle w:val="FootnoteText"/>
        <w:jc w:val="both"/>
        <w:rPr>
          <w:rFonts w:cs="Times New Roman"/>
          <w:color w:val="000000"/>
          <w:shd w:val="clear" w:color="auto" w:fill="FFFFFF"/>
        </w:rPr>
      </w:pPr>
      <w:r w:rsidRPr="006207BE">
        <w:rPr>
          <w:rStyle w:val="FootnoteReference"/>
          <w:rFonts w:cs="Times New Roman"/>
        </w:rPr>
        <w:footnoteRef/>
      </w:r>
      <w:r w:rsidRPr="006207BE">
        <w:rPr>
          <w:rFonts w:cs="Times New Roman"/>
        </w:rPr>
        <w:t xml:space="preserve"> Κατά την υπ’ αρ. 12-26046 απόφαση της 17</w:t>
      </w:r>
      <w:r w:rsidRPr="006207BE">
        <w:rPr>
          <w:rFonts w:cs="Times New Roman"/>
          <w:vertAlign w:val="superscript"/>
        </w:rPr>
        <w:t>ης</w:t>
      </w:r>
      <w:r w:rsidRPr="006207BE">
        <w:rPr>
          <w:rFonts w:cs="Times New Roman"/>
        </w:rPr>
        <w:t xml:space="preserve"> Οκτωβρίου 2013 του Ακυρωτικού Δικαστηρίου «η </w:t>
      </w:r>
      <w:r w:rsidRPr="006207BE">
        <w:rPr>
          <w:rStyle w:val="Emphasis"/>
          <w:rFonts w:cs="Times New Roman"/>
          <w:i w:val="0"/>
          <w:color w:val="212121"/>
          <w:shd w:val="clear" w:color="auto" w:fill="FFFFFF"/>
        </w:rPr>
        <w:t xml:space="preserve">διαδικασία... απαιτεί από τα μέρη να εμφανίζονται ή να εκπροσωπούνται προκειμένου να </w:t>
      </w:r>
      <w:r w:rsidRPr="006207BE">
        <w:rPr>
          <w:rFonts w:cs="Times New Roman"/>
          <w:iCs/>
          <w:color w:val="000000"/>
        </w:rPr>
        <w:t>διατυπώσουν έγκυρα τα αιτήματά τους και να τα δικαιολογήσουν».</w:t>
      </w:r>
      <w:r w:rsidRPr="006207BE">
        <w:rPr>
          <w:rFonts w:cs="Times New Roman"/>
          <w:color w:val="000000"/>
          <w:shd w:val="clear" w:color="auto" w:fill="FFFFFF"/>
        </w:rPr>
        <w:t xml:space="preserve"> </w:t>
      </w:r>
    </w:p>
  </w:footnote>
  <w:footnote w:id="96">
    <w:p w:rsidR="00346644" w:rsidRPr="006207BE" w:rsidRDefault="00346644" w:rsidP="007371B1">
      <w:pPr>
        <w:pStyle w:val="FootnoteText"/>
        <w:jc w:val="both"/>
        <w:rPr>
          <w:rFonts w:cs="Times New Roman"/>
          <w:color w:val="000000"/>
          <w:shd w:val="clear" w:color="auto" w:fill="FFFFFF"/>
        </w:rPr>
      </w:pPr>
      <w:r w:rsidRPr="006207BE">
        <w:rPr>
          <w:rStyle w:val="FootnoteReference"/>
        </w:rPr>
        <w:footnoteRef/>
      </w:r>
      <w:r w:rsidRPr="006207BE">
        <w:rPr>
          <w:rStyle w:val="FootnoteReference"/>
        </w:rPr>
        <w:t xml:space="preserve"> </w:t>
      </w:r>
      <w:r w:rsidRPr="006207BE">
        <w:rPr>
          <w:rFonts w:cs="Times New Roman"/>
          <w:color w:val="000000"/>
          <w:shd w:val="clear" w:color="auto" w:fill="FFFFFF"/>
        </w:rPr>
        <w:t>αρ. 700 ΓαλλΚΠολΔ .</w:t>
      </w:r>
    </w:p>
  </w:footnote>
  <w:footnote w:id="97">
    <w:p w:rsidR="00346644" w:rsidRPr="006207BE" w:rsidRDefault="00346644" w:rsidP="007371B1">
      <w:pPr>
        <w:pStyle w:val="FootnoteText"/>
        <w:jc w:val="both"/>
        <w:rPr>
          <w:rFonts w:cs="Times New Roman"/>
          <w:color w:val="000000"/>
          <w:shd w:val="clear" w:color="auto" w:fill="FFFFFF"/>
        </w:rPr>
      </w:pPr>
      <w:r w:rsidRPr="006207BE">
        <w:rPr>
          <w:rStyle w:val="FootnoteReference"/>
        </w:rPr>
        <w:footnoteRef/>
      </w:r>
      <w:r w:rsidRPr="006207BE">
        <w:rPr>
          <w:rFonts w:cs="Times New Roman"/>
          <w:color w:val="000000"/>
          <w:shd w:val="clear" w:color="auto" w:fill="FFFFFF"/>
        </w:rPr>
        <w:t xml:space="preserve"> Τέτοια θεωρείται εμπόδιο της τελευταίας στιγμής, κώλυμα στο πρόσωπο πληρεξουσίου ή αντιπροσώπου, αλλά, ακόμα και, ειδικά, για την αντίκρουση των αγωγικών ισχυρισμών.</w:t>
      </w:r>
    </w:p>
  </w:footnote>
  <w:footnote w:id="98">
    <w:p w:rsidR="00346644" w:rsidRPr="006207BE" w:rsidRDefault="00346644" w:rsidP="007371B1">
      <w:pPr>
        <w:pStyle w:val="FootnoteText"/>
        <w:jc w:val="both"/>
        <w:rPr>
          <w:rFonts w:cs="Times New Roman"/>
          <w:color w:val="000000"/>
          <w:shd w:val="clear" w:color="auto" w:fill="FFFFFF"/>
        </w:rPr>
      </w:pPr>
      <w:r w:rsidRPr="006207BE">
        <w:rPr>
          <w:rStyle w:val="FootnoteReference"/>
        </w:rPr>
        <w:footnoteRef/>
      </w:r>
      <w:r w:rsidRPr="006207BE">
        <w:rPr>
          <w:rStyle w:val="FootnoteReference"/>
        </w:rPr>
        <w:t xml:space="preserve"> </w:t>
      </w:r>
      <w:r w:rsidRPr="006207BE">
        <w:rPr>
          <w:rFonts w:cs="Times New Roman"/>
          <w:color w:val="000000"/>
          <w:shd w:val="clear" w:color="auto" w:fill="FFFFFF"/>
        </w:rPr>
        <w:t>αρ. 847-1 ΓαλλΚΠολΔ.</w:t>
      </w:r>
    </w:p>
  </w:footnote>
  <w:footnote w:id="99">
    <w:p w:rsidR="00346644" w:rsidRPr="006207BE" w:rsidRDefault="00346644" w:rsidP="007371B1">
      <w:pPr>
        <w:pStyle w:val="FootnoteText"/>
        <w:jc w:val="both"/>
        <w:rPr>
          <w:rFonts w:cs="Times New Roman"/>
          <w:color w:val="000000"/>
          <w:shd w:val="clear" w:color="auto" w:fill="FFFFFF"/>
        </w:rPr>
      </w:pPr>
      <w:r w:rsidRPr="006207BE">
        <w:rPr>
          <w:rStyle w:val="FootnoteReference"/>
        </w:rPr>
        <w:footnoteRef/>
      </w:r>
      <w:r w:rsidRPr="006207BE">
        <w:rPr>
          <w:rStyle w:val="FootnoteReference"/>
        </w:rPr>
        <w:t xml:space="preserve"> </w:t>
      </w:r>
      <w:r w:rsidRPr="006207BE">
        <w:rPr>
          <w:rFonts w:cs="Times New Roman"/>
          <w:color w:val="000000"/>
          <w:shd w:val="clear" w:color="auto" w:fill="FFFFFF"/>
        </w:rPr>
        <w:t>αρ.446-2 ΓαλλΚΠολΔ.</w:t>
      </w:r>
    </w:p>
  </w:footnote>
  <w:footnote w:id="100">
    <w:p w:rsidR="00346644" w:rsidRPr="006207BE" w:rsidRDefault="00346644" w:rsidP="007371B1">
      <w:pPr>
        <w:pStyle w:val="FootnoteText"/>
        <w:jc w:val="both"/>
        <w:rPr>
          <w:rStyle w:val="FootnoteReference"/>
        </w:rPr>
      </w:pPr>
      <w:r w:rsidRPr="006207BE">
        <w:rPr>
          <w:rStyle w:val="FootnoteReference"/>
        </w:rPr>
        <w:footnoteRef/>
      </w:r>
      <w:r w:rsidRPr="006207BE">
        <w:rPr>
          <w:rFonts w:cs="Times New Roman"/>
          <w:color w:val="000000"/>
          <w:shd w:val="clear" w:color="auto" w:fill="FFFFFF"/>
        </w:rPr>
        <w:t xml:space="preserve"> η οποία δίδεται μετά από στάθμιση της κατάστασης του οφειλέτη, λαμβάνοντας υπόψη και τις ανάγκες του πιστωτή.</w:t>
      </w:r>
    </w:p>
  </w:footnote>
  <w:footnote w:id="101">
    <w:p w:rsidR="00346644" w:rsidRPr="006207BE" w:rsidRDefault="00346644" w:rsidP="007371B1">
      <w:pPr>
        <w:pStyle w:val="FootnoteText"/>
        <w:jc w:val="both"/>
        <w:rPr>
          <w:rFonts w:cs="Times New Roman"/>
          <w:color w:val="000000"/>
          <w:shd w:val="clear" w:color="auto" w:fill="FFFFFF"/>
          <w:lang w:val="en-US"/>
        </w:rPr>
      </w:pPr>
      <w:r w:rsidRPr="006207BE">
        <w:rPr>
          <w:rStyle w:val="FootnoteReference"/>
        </w:rPr>
        <w:footnoteRef/>
      </w:r>
      <w:r w:rsidRPr="006207BE">
        <w:rPr>
          <w:rFonts w:cs="Times New Roman"/>
          <w:color w:val="000000"/>
          <w:shd w:val="clear" w:color="auto" w:fill="FFFFFF"/>
          <w:lang w:val="en-US"/>
        </w:rPr>
        <w:t xml:space="preserve"> </w:t>
      </w:r>
      <w:r w:rsidRPr="006207BE">
        <w:rPr>
          <w:rFonts w:cs="Times New Roman"/>
          <w:color w:val="000000"/>
          <w:shd w:val="clear" w:color="auto" w:fill="FFFFFF"/>
        </w:rPr>
        <w:t>κατά</w:t>
      </w:r>
      <w:r w:rsidRPr="006207BE">
        <w:rPr>
          <w:rFonts w:cs="Times New Roman"/>
          <w:color w:val="000000"/>
          <w:shd w:val="clear" w:color="auto" w:fill="FFFFFF"/>
          <w:lang w:val="en-US"/>
        </w:rPr>
        <w:t xml:space="preserve"> </w:t>
      </w:r>
      <w:r w:rsidRPr="006207BE">
        <w:rPr>
          <w:rFonts w:cs="Times New Roman"/>
          <w:color w:val="000000"/>
          <w:shd w:val="clear" w:color="auto" w:fill="FFFFFF"/>
        </w:rPr>
        <w:t>το</w:t>
      </w:r>
      <w:r w:rsidRPr="006207BE">
        <w:rPr>
          <w:rFonts w:cs="Times New Roman"/>
          <w:color w:val="000000"/>
          <w:shd w:val="clear" w:color="auto" w:fill="FFFFFF"/>
          <w:lang w:val="en-US"/>
        </w:rPr>
        <w:t xml:space="preserve"> </w:t>
      </w:r>
      <w:r w:rsidRPr="006207BE">
        <w:rPr>
          <w:rFonts w:cs="Times New Roman"/>
          <w:color w:val="000000"/>
          <w:shd w:val="clear" w:color="auto" w:fill="FFFFFF"/>
        </w:rPr>
        <w:t>αρ</w:t>
      </w:r>
      <w:r w:rsidRPr="006207BE">
        <w:rPr>
          <w:rFonts w:cs="Times New Roman"/>
          <w:color w:val="000000"/>
          <w:shd w:val="clear" w:color="auto" w:fill="FFFFFF"/>
          <w:lang w:val="en-US"/>
        </w:rPr>
        <w:t xml:space="preserve">. R 221-4 </w:t>
      </w:r>
      <w:r w:rsidRPr="006207BE">
        <w:rPr>
          <w:rFonts w:cs="Times New Roman"/>
          <w:color w:val="000000"/>
          <w:shd w:val="clear" w:color="auto" w:fill="FFFFFF"/>
        </w:rPr>
        <w:t>του</w:t>
      </w:r>
      <w:r w:rsidRPr="006207BE">
        <w:rPr>
          <w:rFonts w:cs="Times New Roman"/>
          <w:color w:val="000000"/>
          <w:shd w:val="clear" w:color="auto" w:fill="FFFFFF"/>
          <w:lang w:val="en-US"/>
        </w:rPr>
        <w:t xml:space="preserve"> Code de l'Organisation judiciaire (COJ).</w:t>
      </w:r>
    </w:p>
  </w:footnote>
  <w:footnote w:id="102">
    <w:p w:rsidR="00346644" w:rsidRPr="006207BE" w:rsidRDefault="00346644" w:rsidP="007371B1">
      <w:pPr>
        <w:pStyle w:val="FootnoteText"/>
        <w:jc w:val="both"/>
        <w:rPr>
          <w:rFonts w:cs="Times New Roman"/>
        </w:rPr>
      </w:pPr>
      <w:r w:rsidRPr="006207BE">
        <w:rPr>
          <w:rStyle w:val="FootnoteReference"/>
        </w:rPr>
        <w:footnoteRef/>
      </w:r>
      <w:r w:rsidRPr="006207BE">
        <w:rPr>
          <w:rFonts w:cs="Times New Roman"/>
        </w:rPr>
        <w:t xml:space="preserve"> «Αmtsgericht», κατά κυριολεξία «Τοπικό Δικαστήριο», το οποίο, κατά το αρ.  23 και 23α του GVG (Gerichtsverfassungsgesetz), του αντίστοιχου ΚΟΔΚΔΛ, είναι αρμόδιο για χρηματικές διαφορές έως 5.000,00 ευρώ, και ανεξαρτήτως αξίας για μισθωτικές διαφορές, διαφορές μεταξύ ξενοδόχων και πελατών τους, μεταξύ ταξιδιωτών και παρόχων αντίστοιχων υπηρεσιών, για υποθέσεις συγκυριότητας, ισόβιας προσόδου, καθώς, και για υποθέσεις εκουσίας δικαιοδοσίας, στα οποία, σημειωτέον, λειτουργεί και ειδικό τμήμα Οικογενειακού Δικαίου , το λεγόμενο και «Μικρό Οικογενειακό Δικαστήριο», Κλαμαρής Ν. «Το Οικογενειακό Δικαστήριο, μια ρηξικέλευθη μετάρρύθμιση», διαθ. εδώ: </w:t>
      </w:r>
      <w:hyperlink r:id="rId22" w:history="1">
        <w:r w:rsidRPr="006207BE">
          <w:rPr>
            <w:rStyle w:val="Hyperlink"/>
            <w:rFonts w:cs="Times New Roman"/>
          </w:rPr>
          <w:t>https://www.tovima.gr/2009/03/14/opinions/to-oikogeneiako-dikastirio-mia-riksikeleythi-metarrythmisi/</w:t>
        </w:r>
      </w:hyperlink>
      <w:r w:rsidRPr="006207BE">
        <w:rPr>
          <w:rFonts w:cs="Times New Roman"/>
        </w:rPr>
        <w:t>, με ημ. προσβ. 28.7.2019.</w:t>
      </w:r>
    </w:p>
  </w:footnote>
  <w:footnote w:id="103">
    <w:p w:rsidR="00346644" w:rsidRPr="006207BE" w:rsidRDefault="00346644" w:rsidP="007371B1">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rPr>
        <w:t xml:space="preserve">«Landgerichte», κατά κυριολεξία «Περιφερειακό Δικαστήριο», το οποίο κατά το αρ.  71 GVG είναι αρμόδιο για όσες υποθέσεις δεν υπάγονται στη δικαιοδοσία του Τοπικού Δικαστηρίου και, ανεξαρτήτως, αξίας για διαφορές κατά των φορολογικών αρχών, εναντίον Δικαστικών Λειτουργών και Δημοσίων Υπαλλήλων, διαφορές για αποζημίωση  λόγω </w:t>
      </w:r>
      <w:r w:rsidRPr="006207BE">
        <w:rPr>
          <w:rFonts w:cs="Times New Roman"/>
          <w:color w:val="333333"/>
          <w:shd w:val="clear" w:color="auto" w:fill="FFFFFF"/>
        </w:rPr>
        <w:t xml:space="preserve">ψευδών, παραπλανητικών ή παραλειφθέντων πληροφοριών σχετικά με την κεφαλαιαγορά, διαφορές του Εμπορικού Κώδικα κοκ. </w:t>
      </w:r>
    </w:p>
  </w:footnote>
  <w:footnote w:id="104">
    <w:p w:rsidR="00346644" w:rsidRPr="006207BE" w:rsidRDefault="00346644" w:rsidP="007371B1">
      <w:pPr>
        <w:pStyle w:val="FootnoteText"/>
        <w:jc w:val="both"/>
        <w:rPr>
          <w:rFonts w:cs="Times New Roman"/>
          <w:color w:val="333333"/>
          <w:shd w:val="clear" w:color="auto" w:fill="FFFFFF"/>
        </w:rPr>
      </w:pPr>
      <w:r w:rsidRPr="006207BE">
        <w:rPr>
          <w:rStyle w:val="FootnoteReference"/>
        </w:rPr>
        <w:footnoteRef/>
      </w:r>
      <w:r w:rsidRPr="006207BE">
        <w:rPr>
          <w:rStyle w:val="FootnoteReference"/>
        </w:rPr>
        <w:t xml:space="preserve"> </w:t>
      </w:r>
      <w:r w:rsidRPr="006207BE">
        <w:rPr>
          <w:rFonts w:cs="Times New Roman"/>
          <w:color w:val="333333"/>
          <w:shd w:val="clear" w:color="auto" w:fill="FFFFFF"/>
        </w:rPr>
        <w:t>αρ. 495 ΓερμΚΠολΔ .</w:t>
      </w:r>
    </w:p>
  </w:footnote>
  <w:footnote w:id="105">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rPr>
        <w:t xml:space="preserve">εγγ.  GVG (Gerichtsverfassungsgesetz)σε επίσημη μετάφραση στην Αγγλική από το Υπουργείο δικαιοσύνης της Ομοσπονδιακής Δημοκρατίας της Γερμανίας, διαθ. εδώ: </w:t>
      </w:r>
      <w:hyperlink r:id="rId23" w:history="1">
        <w:r w:rsidRPr="006207BE">
          <w:rPr>
            <w:rFonts w:cs="Times New Roman"/>
          </w:rPr>
          <w:t>http://www.gesetze-im-internet.de/englisch_gvg/</w:t>
        </w:r>
      </w:hyperlink>
      <w:r w:rsidRPr="006207BE">
        <w:rPr>
          <w:rFonts w:cs="Times New Roman"/>
        </w:rPr>
        <w:t>, με ημ. προσβ. 25.9.2019.</w:t>
      </w:r>
      <w:r w:rsidRPr="006207BE">
        <w:t xml:space="preserve">  </w:t>
      </w:r>
    </w:p>
  </w:footnote>
  <w:footnote w:id="106">
    <w:p w:rsidR="00346644" w:rsidRPr="006207BE" w:rsidRDefault="00346644" w:rsidP="007371B1">
      <w:pPr>
        <w:pStyle w:val="FootnoteText"/>
        <w:jc w:val="both"/>
        <w:rPr>
          <w:rFonts w:cs="Times New Roman"/>
          <w:color w:val="333333"/>
          <w:shd w:val="clear" w:color="auto" w:fill="FFFFFF"/>
        </w:rPr>
      </w:pPr>
      <w:r w:rsidRPr="006207BE">
        <w:rPr>
          <w:rStyle w:val="FootnoteReference"/>
        </w:rPr>
        <w:footnoteRef/>
      </w:r>
      <w:r w:rsidRPr="006207BE">
        <w:rPr>
          <w:rStyle w:val="FootnoteReference"/>
        </w:rPr>
        <w:t xml:space="preserve"> </w:t>
      </w:r>
      <w:r w:rsidRPr="006207BE">
        <w:rPr>
          <w:rFonts w:cs="Times New Roman"/>
          <w:color w:val="333333"/>
          <w:shd w:val="clear" w:color="auto" w:fill="FFFFFF"/>
        </w:rPr>
        <w:t xml:space="preserve">κατ’ αρ. 128 ΓερμΚΠολΔ, η οποία κάμπτεται, προς, αμιγώς, έγγραφη διεξαγωγή, αν το ζητήσουν οι διάδικοι, κατ΄αρ. 128 παρ. 2 ΓερμΚΠολΔ, είτε αν ο εναγόμενος δεν παραστεί στην επ’ ακροατηρίω συζήτηση και ο ενάγων ζητήσει την έκδοση ερήμην του απόφαση, κατ΄αρ. 331 ΓερμΚΠολΔ, όποτε και θεωρούνται ομολογημένα τα επικαλούμενα από τον ιδίο πραγματικά περιστατικά. </w:t>
      </w:r>
    </w:p>
  </w:footnote>
  <w:footnote w:id="107">
    <w:p w:rsidR="00346644" w:rsidRPr="006207BE" w:rsidRDefault="00346644" w:rsidP="007371B1">
      <w:pPr>
        <w:pStyle w:val="FootnoteText"/>
        <w:jc w:val="both"/>
        <w:rPr>
          <w:rFonts w:cs="Times New Roman"/>
          <w:color w:val="333333"/>
          <w:shd w:val="clear" w:color="auto" w:fill="FFFFFF"/>
        </w:rPr>
      </w:pPr>
      <w:r w:rsidRPr="006207BE">
        <w:rPr>
          <w:rStyle w:val="FootnoteReference"/>
        </w:rPr>
        <w:footnoteRef/>
      </w:r>
      <w:r w:rsidRPr="006207BE">
        <w:rPr>
          <w:rStyle w:val="FootnoteReference"/>
        </w:rPr>
        <w:t xml:space="preserve"> </w:t>
      </w:r>
      <w:r w:rsidRPr="006207BE">
        <w:rPr>
          <w:rFonts w:cs="Times New Roman"/>
          <w:color w:val="333333"/>
          <w:shd w:val="clear" w:color="auto" w:fill="FFFFFF"/>
        </w:rPr>
        <w:t xml:space="preserve">κατά το αρ. 15α ΕισΝΓερμΚΠολΔ, σε περιουσιακές διαφορές έως το ποσό των 750,00 ευρώ, σε αποζημίωση εξ αδικοπραξίας, εκτός του τύπου, υποθέσεις γειτονικού Δικαίου, καθώς, και σε διαφορές σχετικές με την ίση μεταχείριση, απαιτείται να έχει προηγηθεί προσπάθεια φιλικής επίλυσης της διαφοράς. </w:t>
      </w:r>
    </w:p>
  </w:footnote>
  <w:footnote w:id="108">
    <w:p w:rsidR="00346644" w:rsidRPr="006207BE" w:rsidRDefault="00346644" w:rsidP="007371B1">
      <w:pPr>
        <w:pStyle w:val="FootnoteText"/>
      </w:pPr>
      <w:r w:rsidRPr="006207BE">
        <w:rPr>
          <w:rStyle w:val="FootnoteReference"/>
        </w:rPr>
        <w:footnoteRef/>
      </w:r>
      <w:r w:rsidRPr="006207BE">
        <w:t xml:space="preserve"> </w:t>
      </w:r>
      <w:r w:rsidRPr="006207BE">
        <w:rPr>
          <w:rFonts w:cs="Times New Roman"/>
          <w:color w:val="333333"/>
          <w:shd w:val="clear" w:color="auto" w:fill="FFFFFF"/>
        </w:rPr>
        <w:t>Πράσινο Βιβλίο, ό.π., σ. 58.</w:t>
      </w:r>
      <w:r w:rsidRPr="006207BE">
        <w:t xml:space="preserve"> </w:t>
      </w:r>
    </w:p>
  </w:footnote>
  <w:footnote w:id="109">
    <w:p w:rsidR="00346644" w:rsidRPr="006207BE" w:rsidRDefault="00346644">
      <w:pPr>
        <w:pStyle w:val="FootnoteText"/>
      </w:pPr>
      <w:r w:rsidRPr="006207BE">
        <w:rPr>
          <w:rStyle w:val="FootnoteReference"/>
        </w:rPr>
        <w:footnoteRef/>
      </w:r>
      <w:r w:rsidRPr="006207BE">
        <w:t xml:space="preserve"> Η οποία δεν αποτελεί ειδική διαδικασία μικροδιαφορών, Πράσινο Βιβλίο, ό.π., σ. 59 </w:t>
      </w:r>
    </w:p>
  </w:footnote>
  <w:footnote w:id="110">
    <w:p w:rsidR="00346644" w:rsidRPr="006207BE" w:rsidRDefault="00346644" w:rsidP="007371B1">
      <w:pPr>
        <w:pStyle w:val="FootnoteText"/>
        <w:jc w:val="both"/>
        <w:rPr>
          <w:rFonts w:cs="Times New Roman"/>
          <w:color w:val="333333"/>
          <w:shd w:val="clear" w:color="auto" w:fill="FFFFFF"/>
          <w:lang w:val="en-US"/>
        </w:rPr>
      </w:pPr>
      <w:r w:rsidRPr="006207BE">
        <w:rPr>
          <w:rStyle w:val="FootnoteReference"/>
          <w:rFonts w:cs="Times New Roman"/>
        </w:rPr>
        <w:footnoteRef/>
      </w:r>
      <w:r w:rsidRPr="006207BE">
        <w:rPr>
          <w:rFonts w:cs="Times New Roman"/>
          <w:lang w:val="en-US"/>
        </w:rPr>
        <w:t xml:space="preserve"> </w:t>
      </w:r>
      <w:r w:rsidRPr="006207BE">
        <w:rPr>
          <w:rFonts w:cs="Times New Roman"/>
          <w:color w:val="333333"/>
          <w:shd w:val="clear" w:color="auto" w:fill="FFFFFF"/>
          <w:lang w:val="en-US"/>
        </w:rPr>
        <w:t>Rafal Manko, «European Small Claims Procedure, Legal Analysis of the Commission’s proposal to remedy weakness in the current system», European Parliamentary Research Service, Νοέμβριος 2014, § 495a ZPO. H.P. Mayer, J. Lindemann, G. Haibach, Small Claims Verordnung (C.H. Beck 2009), p. 9- 11., para. 55. Münchener Kommentar zum ZPO,4th ed., 2012.</w:t>
      </w:r>
    </w:p>
  </w:footnote>
  <w:footnote w:id="111">
    <w:p w:rsidR="00346644" w:rsidRPr="006207BE" w:rsidRDefault="00346644" w:rsidP="007371B1">
      <w:pPr>
        <w:pStyle w:val="FootnoteText"/>
        <w:rPr>
          <w:lang w:val="en-US"/>
        </w:rPr>
      </w:pPr>
      <w:r w:rsidRPr="006207BE">
        <w:rPr>
          <w:rStyle w:val="FootnoteReference"/>
        </w:rPr>
        <w:footnoteRef/>
      </w:r>
      <w:r w:rsidRPr="006207BE">
        <w:rPr>
          <w:lang w:val="en-US"/>
        </w:rPr>
        <w:t xml:space="preserve"> </w:t>
      </w:r>
      <w:r w:rsidRPr="006207BE">
        <w:rPr>
          <w:rFonts w:cs="Times New Roman"/>
          <w:color w:val="333333"/>
          <w:shd w:val="clear" w:color="auto" w:fill="FFFFFF"/>
        </w:rPr>
        <w:t>Πράσινο</w:t>
      </w:r>
      <w:r w:rsidRPr="006207BE">
        <w:rPr>
          <w:rFonts w:cs="Times New Roman"/>
          <w:color w:val="333333"/>
          <w:shd w:val="clear" w:color="auto" w:fill="FFFFFF"/>
          <w:lang w:val="en-US"/>
        </w:rPr>
        <w:t xml:space="preserve"> </w:t>
      </w:r>
      <w:r w:rsidRPr="006207BE">
        <w:rPr>
          <w:rFonts w:cs="Times New Roman"/>
          <w:color w:val="333333"/>
          <w:shd w:val="clear" w:color="auto" w:fill="FFFFFF"/>
        </w:rPr>
        <w:t>Βιβλίο</w:t>
      </w:r>
      <w:r w:rsidRPr="006207BE">
        <w:rPr>
          <w:rFonts w:cs="Times New Roman"/>
          <w:color w:val="333333"/>
          <w:shd w:val="clear" w:color="auto" w:fill="FFFFFF"/>
          <w:lang w:val="en-US"/>
        </w:rPr>
        <w:t xml:space="preserve">, </w:t>
      </w:r>
      <w:r w:rsidRPr="006207BE">
        <w:rPr>
          <w:rFonts w:cs="Times New Roman"/>
          <w:color w:val="333333"/>
          <w:shd w:val="clear" w:color="auto" w:fill="FFFFFF"/>
        </w:rPr>
        <w:t>ό</w:t>
      </w:r>
      <w:r w:rsidRPr="006207BE">
        <w:rPr>
          <w:rFonts w:cs="Times New Roman"/>
          <w:color w:val="333333"/>
          <w:shd w:val="clear" w:color="auto" w:fill="FFFFFF"/>
          <w:lang w:val="en-US"/>
        </w:rPr>
        <w:t>.</w:t>
      </w:r>
      <w:r w:rsidRPr="006207BE">
        <w:rPr>
          <w:rFonts w:cs="Times New Roman"/>
          <w:color w:val="333333"/>
          <w:shd w:val="clear" w:color="auto" w:fill="FFFFFF"/>
        </w:rPr>
        <w:t>π</w:t>
      </w:r>
      <w:r w:rsidRPr="006207BE">
        <w:rPr>
          <w:rFonts w:cs="Times New Roman"/>
          <w:color w:val="333333"/>
          <w:shd w:val="clear" w:color="auto" w:fill="FFFFFF"/>
          <w:lang w:val="en-US"/>
        </w:rPr>
        <w:t xml:space="preserve">., </w:t>
      </w:r>
      <w:r w:rsidRPr="006207BE">
        <w:rPr>
          <w:rFonts w:cs="Times New Roman"/>
          <w:color w:val="333333"/>
          <w:shd w:val="clear" w:color="auto" w:fill="FFFFFF"/>
        </w:rPr>
        <w:t>σ</w:t>
      </w:r>
      <w:r w:rsidRPr="006207BE">
        <w:rPr>
          <w:rFonts w:cs="Times New Roman"/>
          <w:color w:val="333333"/>
          <w:shd w:val="clear" w:color="auto" w:fill="FFFFFF"/>
          <w:lang w:val="en-US"/>
        </w:rPr>
        <w:t>. 63.</w:t>
      </w:r>
    </w:p>
  </w:footnote>
  <w:footnote w:id="112">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παρέχεται από ειδική υπηρεσία για την κίνηση της διαδικασίας και από το Δικαστή κατά την ακροαματική διαδικασία, Πράσινο Βιβλίο, ό.π., σ. 60.</w:t>
      </w:r>
    </w:p>
  </w:footnote>
  <w:footnote w:id="113">
    <w:p w:rsidR="00346644" w:rsidRPr="006207BE" w:rsidRDefault="00346644" w:rsidP="007371B1">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 xml:space="preserve">Πράσινο Βιβλίο, ό.π., σ. 62, στα αποδεικτικά μέσα συμπεριλαμβάνεται και η δυνατότητα χρήσης «εγγράφων βεβαιώσεων» των μαρτύρων. </w:t>
      </w:r>
    </w:p>
  </w:footnote>
  <w:footnote w:id="114">
    <w:p w:rsidR="00346644" w:rsidRPr="006207BE" w:rsidRDefault="00346644" w:rsidP="007C522D">
      <w:pPr>
        <w:pStyle w:val="FootnoteText"/>
      </w:pPr>
      <w:r w:rsidRPr="006207BE">
        <w:rPr>
          <w:rStyle w:val="FootnoteReference"/>
        </w:rPr>
        <w:footnoteRef/>
      </w:r>
      <w:r w:rsidRPr="006207BE">
        <w:t xml:space="preserve"> </w:t>
      </w:r>
      <w:r w:rsidRPr="006207BE">
        <w:rPr>
          <w:rFonts w:cs="Times New Roman"/>
          <w:color w:val="333333"/>
          <w:shd w:val="clear" w:color="auto" w:fill="FFFFFF"/>
        </w:rPr>
        <w:t>Πράσινο Βιβλίο, ό.π., σ. 64.</w:t>
      </w:r>
      <w:r w:rsidRPr="006207BE">
        <w:t xml:space="preserve"> </w:t>
      </w:r>
    </w:p>
  </w:footnote>
  <w:footnote w:id="115">
    <w:p w:rsidR="00346644" w:rsidRPr="006207BE" w:rsidRDefault="00346644" w:rsidP="007C522D">
      <w:pPr>
        <w:pStyle w:val="FootnoteText"/>
        <w:jc w:val="both"/>
      </w:pPr>
      <w:r w:rsidRPr="006207BE">
        <w:rPr>
          <w:rStyle w:val="FootnoteReference"/>
        </w:rPr>
        <w:footnoteRef/>
      </w:r>
      <w:r w:rsidRPr="006207BE">
        <w:t xml:space="preserve"> Σημαντική, πάντως, είναι και η διαδικασία «διαταγής πληρωμής»</w:t>
      </w:r>
      <w:r w:rsidRPr="006207BE">
        <w:rPr>
          <w:rFonts w:cs="Times New Roman"/>
          <w:color w:val="333333"/>
          <w:shd w:val="clear" w:color="auto" w:fill="FFFFFF"/>
        </w:rPr>
        <w:t xml:space="preserve"> («</w:t>
      </w:r>
      <w:r w:rsidRPr="006207BE">
        <w:rPr>
          <w:rFonts w:cs="Times New Roman"/>
          <w:color w:val="333333"/>
          <w:shd w:val="clear" w:color="auto" w:fill="FFFFFF"/>
          <w:lang w:val="en-US"/>
        </w:rPr>
        <w:t>Mahnverfahren</w:t>
      </w:r>
      <w:r w:rsidRPr="006207BE">
        <w:rPr>
          <w:rFonts w:cs="Times New Roman"/>
          <w:color w:val="333333"/>
          <w:shd w:val="clear" w:color="auto" w:fill="FFFFFF"/>
        </w:rPr>
        <w:t xml:space="preserve">» σε μετάφραση Παγώνα Τιγρέ, Εγχειρίδιο Γερμανικής Νομικής, </w:t>
      </w:r>
      <w:r w:rsidRPr="006207BE">
        <w:rPr>
          <w:rFonts w:cs="Times New Roman"/>
          <w:color w:val="333333"/>
          <w:shd w:val="clear" w:color="auto" w:fill="FFFFFF"/>
          <w:lang w:val="en-US"/>
        </w:rPr>
        <w:t>University</w:t>
      </w:r>
      <w:r w:rsidRPr="006207BE">
        <w:rPr>
          <w:rFonts w:cs="Times New Roman"/>
          <w:color w:val="333333"/>
          <w:shd w:val="clear" w:color="auto" w:fill="FFFFFF"/>
        </w:rPr>
        <w:t xml:space="preserve"> </w:t>
      </w:r>
      <w:r w:rsidRPr="006207BE">
        <w:rPr>
          <w:rFonts w:cs="Times New Roman"/>
          <w:color w:val="333333"/>
          <w:shd w:val="clear" w:color="auto" w:fill="FFFFFF"/>
          <w:lang w:val="en-US"/>
        </w:rPr>
        <w:t>Studio</w:t>
      </w:r>
      <w:r w:rsidRPr="006207BE">
        <w:rPr>
          <w:rFonts w:cs="Times New Roman"/>
          <w:color w:val="333333"/>
          <w:shd w:val="clear" w:color="auto" w:fill="FFFFFF"/>
        </w:rPr>
        <w:t xml:space="preserve"> </w:t>
      </w:r>
      <w:r w:rsidRPr="006207BE">
        <w:rPr>
          <w:rFonts w:cs="Times New Roman"/>
          <w:color w:val="333333"/>
          <w:shd w:val="clear" w:color="auto" w:fill="FFFFFF"/>
          <w:lang w:val="en-US"/>
        </w:rPr>
        <w:t>Press</w:t>
      </w:r>
      <w:r w:rsidRPr="006207BE">
        <w:rPr>
          <w:rFonts w:cs="Times New Roman"/>
          <w:color w:val="333333"/>
          <w:shd w:val="clear" w:color="auto" w:fill="FFFFFF"/>
        </w:rPr>
        <w:t>, Εκδόσεις Επιστημονικών Βιβλίων και Περιοδικών, 2008, «πίεση είσπραξης οφειλής» κατά τον αγγλικό όρο «</w:t>
      </w:r>
      <w:r w:rsidRPr="006207BE">
        <w:rPr>
          <w:rFonts w:cs="Times New Roman"/>
          <w:color w:val="333333"/>
          <w:shd w:val="clear" w:color="auto" w:fill="FFFFFF"/>
          <w:lang w:val="en-US"/>
        </w:rPr>
        <w:t>dunning</w:t>
      </w:r>
      <w:r w:rsidRPr="006207BE">
        <w:rPr>
          <w:rFonts w:cs="Times New Roman"/>
          <w:color w:val="333333"/>
          <w:shd w:val="clear" w:color="auto" w:fill="FFFFFF"/>
        </w:rPr>
        <w:t>» σε μετάφραση Μ. Χιωτάκης «Αγγλο-Ελληνικό Λεξικό Νομικών – Εμπορικών Όρων», εκδ. Δαίδαλος.)</w:t>
      </w:r>
      <w:r w:rsidRPr="006207BE">
        <w:t>, επί τη βάσει «μη απόδειξης» της απαίτησης, που προβλέπεται ως ταχεία, φθηνή, αυτοματοποιημένη διαδικασία  χορήγησης εκτελεστού και ρυθμίζεται στα αρ. 688 – 703 ΓερμΚΠολΔ (</w:t>
      </w:r>
      <w:r w:rsidRPr="006207BE">
        <w:rPr>
          <w:rFonts w:cs="Times New Roman"/>
        </w:rPr>
        <w:t xml:space="preserve">«Στο πρότυπο της «διαδικασίας οχλήσεως» (Mahnverfahren) της γερμανικής Πολιτικής Δικονομίας ο ΚΠολΔ εισήγαγε τη διαδικασία εκδόσεως διαταγής πληρωμής για χρηματικές απαιτήσεις, εγγράφως αποδεικνυόμενες», Αρβανιτάκης Π., Η διαταγή πληρωμής κατά τον Κώδικα Πολιτικής Δικονομίας, Σάκκουλας, 2012, σ. 2.). και </w:t>
      </w:r>
      <w:r w:rsidRPr="006207BE">
        <w:t>και μπορεί να λάβει χώρα, αποκλειστικά, ηλεκτρονικά</w:t>
      </w:r>
      <w:r w:rsidRPr="006207BE">
        <w:rPr>
          <w:rStyle w:val="FootnoteReference"/>
        </w:rPr>
        <w:footnoteRef/>
      </w:r>
      <w:r w:rsidRPr="006207BE">
        <w:t>, στον ιστότοπο της Ομοσπονδιακής Δημοκρατίας της Γερμανίας «</w:t>
      </w:r>
      <w:hyperlink r:id="rId24" w:history="1">
        <w:r w:rsidRPr="006207BE">
          <w:rPr>
            <w:rStyle w:val="Hyperlink"/>
          </w:rPr>
          <w:t>https://www.mahngerichte.de/</w:t>
        </w:r>
      </w:hyperlink>
      <w:r w:rsidRPr="006207BE">
        <w:t xml:space="preserve">», στον οποίο περιέχονται αναλυτικές πληροφορίες για την σωστή συμπλήρωση των εντύπων, καθώς, και σχετικό εγχειρίδιο.       </w:t>
      </w:r>
    </w:p>
  </w:footnote>
  <w:footnote w:id="116">
    <w:p w:rsidR="00346644" w:rsidRPr="006207BE" w:rsidRDefault="00346644" w:rsidP="00931119">
      <w:pPr>
        <w:pStyle w:val="Heading2"/>
        <w:shd w:val="clear" w:color="auto" w:fill="FFFFFF"/>
        <w:spacing w:before="54" w:after="54" w:line="240" w:lineRule="auto"/>
        <w:jc w:val="both"/>
        <w:rPr>
          <w:rFonts w:asciiTheme="minorHAnsi" w:hAnsiTheme="minorHAnsi"/>
          <w:sz w:val="20"/>
          <w:szCs w:val="20"/>
        </w:rPr>
      </w:pPr>
      <w:r w:rsidRPr="006207BE">
        <w:rPr>
          <w:rStyle w:val="FootnoteReference"/>
          <w:rFonts w:asciiTheme="minorHAnsi" w:eastAsiaTheme="minorEastAsia" w:hAnsiTheme="minorHAnsi" w:cstheme="minorBidi"/>
          <w:b w:val="0"/>
          <w:bCs w:val="0"/>
          <w:color w:val="auto"/>
          <w:sz w:val="20"/>
          <w:szCs w:val="20"/>
          <w:lang w:eastAsia="el-GR"/>
        </w:rPr>
        <w:footnoteRef/>
      </w:r>
      <w:r w:rsidRPr="006207BE">
        <w:rPr>
          <w:rStyle w:val="FootnoteReference"/>
          <w:rFonts w:asciiTheme="minorHAnsi" w:eastAsiaTheme="minorEastAsia" w:hAnsiTheme="minorHAnsi" w:cstheme="minorBidi"/>
          <w:b w:val="0"/>
          <w:bCs w:val="0"/>
          <w:color w:val="auto"/>
          <w:sz w:val="20"/>
          <w:szCs w:val="20"/>
          <w:lang w:eastAsia="el-GR"/>
        </w:rPr>
        <w:t xml:space="preserve"> </w:t>
      </w:r>
      <w:r w:rsidRPr="006207BE">
        <w:rPr>
          <w:rFonts w:asciiTheme="minorHAnsi" w:eastAsiaTheme="minorEastAsia" w:hAnsiTheme="minorHAnsi" w:cs="Times New Roman"/>
          <w:b w:val="0"/>
          <w:bCs w:val="0"/>
          <w:iCs/>
          <w:color w:val="auto"/>
          <w:sz w:val="20"/>
          <w:szCs w:val="20"/>
          <w:lang w:eastAsia="el-GR"/>
        </w:rPr>
        <w:t>Στην Ιταλία υφίσταται και ο θεσμός της «διαταγής πληρωμής» (</w:t>
      </w:r>
      <w:r w:rsidRPr="006207BE">
        <w:rPr>
          <w:rFonts w:asciiTheme="minorHAnsi" w:eastAsiaTheme="minorEastAsia" w:hAnsiTheme="minorHAnsi" w:cs="Times New Roman"/>
          <w:b w:val="0"/>
          <w:bCs w:val="0"/>
          <w:iCs/>
          <w:color w:val="auto"/>
          <w:sz w:val="20"/>
          <w:szCs w:val="20"/>
          <w:lang w:val="en-US" w:eastAsia="el-GR"/>
        </w:rPr>
        <w:t>ingiunzione</w:t>
      </w:r>
      <w:r w:rsidRPr="006207BE">
        <w:rPr>
          <w:rFonts w:asciiTheme="minorHAnsi" w:eastAsiaTheme="minorEastAsia" w:hAnsiTheme="minorHAnsi" w:cs="Times New Roman"/>
          <w:b w:val="0"/>
          <w:bCs w:val="0"/>
          <w:iCs/>
          <w:color w:val="auto"/>
          <w:sz w:val="20"/>
          <w:szCs w:val="20"/>
          <w:lang w:eastAsia="el-GR"/>
        </w:rPr>
        <w:t xml:space="preserve"> </w:t>
      </w:r>
      <w:r w:rsidRPr="006207BE">
        <w:rPr>
          <w:rFonts w:asciiTheme="minorHAnsi" w:eastAsiaTheme="minorEastAsia" w:hAnsiTheme="minorHAnsi" w:cs="Times New Roman"/>
          <w:b w:val="0"/>
          <w:bCs w:val="0"/>
          <w:iCs/>
          <w:color w:val="auto"/>
          <w:sz w:val="20"/>
          <w:szCs w:val="20"/>
          <w:lang w:val="en-US" w:eastAsia="el-GR"/>
        </w:rPr>
        <w:t>di</w:t>
      </w:r>
      <w:r w:rsidRPr="006207BE">
        <w:rPr>
          <w:rFonts w:asciiTheme="minorHAnsi" w:eastAsiaTheme="minorEastAsia" w:hAnsiTheme="minorHAnsi" w:cs="Times New Roman"/>
          <w:b w:val="0"/>
          <w:bCs w:val="0"/>
          <w:iCs/>
          <w:color w:val="auto"/>
          <w:sz w:val="20"/>
          <w:szCs w:val="20"/>
          <w:lang w:eastAsia="el-GR"/>
        </w:rPr>
        <w:t xml:space="preserve"> </w:t>
      </w:r>
      <w:r w:rsidRPr="006207BE">
        <w:rPr>
          <w:rFonts w:asciiTheme="minorHAnsi" w:eastAsiaTheme="minorEastAsia" w:hAnsiTheme="minorHAnsi" w:cs="Times New Roman"/>
          <w:b w:val="0"/>
          <w:bCs w:val="0"/>
          <w:iCs/>
          <w:color w:val="auto"/>
          <w:sz w:val="20"/>
          <w:szCs w:val="20"/>
          <w:lang w:val="en-US" w:eastAsia="el-GR"/>
        </w:rPr>
        <w:t>pagamento</w:t>
      </w:r>
      <w:r w:rsidRPr="006207BE">
        <w:rPr>
          <w:rFonts w:asciiTheme="minorHAnsi" w:eastAsiaTheme="minorEastAsia" w:hAnsiTheme="minorHAnsi" w:cs="Times New Roman"/>
          <w:b w:val="0"/>
          <w:bCs w:val="0"/>
          <w:iCs/>
          <w:color w:val="auto"/>
          <w:sz w:val="20"/>
          <w:szCs w:val="20"/>
          <w:lang w:eastAsia="el-GR"/>
        </w:rPr>
        <w:t>)</w:t>
      </w:r>
      <w:r w:rsidRPr="006207BE">
        <w:rPr>
          <w:rFonts w:asciiTheme="minorHAnsi" w:hAnsiTheme="minorHAnsi" w:cs="Times New Roman"/>
          <w:iCs/>
          <w:color w:val="auto"/>
          <w:sz w:val="20"/>
          <w:szCs w:val="20"/>
        </w:rPr>
        <w:t>)</w:t>
      </w:r>
      <w:r w:rsidRPr="006207BE">
        <w:rPr>
          <w:rFonts w:asciiTheme="minorHAnsi" w:hAnsiTheme="minorHAnsi" w:cs="Times New Roman"/>
          <w:iCs/>
          <w:sz w:val="20"/>
          <w:szCs w:val="20"/>
        </w:rPr>
        <w:t xml:space="preserve">, </w:t>
      </w:r>
      <w:r w:rsidRPr="006207BE">
        <w:rPr>
          <w:rFonts w:asciiTheme="minorHAnsi" w:hAnsiTheme="minorHAnsi" w:cs="Times New Roman"/>
          <w:b w:val="0"/>
          <w:iCs/>
          <w:color w:val="auto"/>
          <w:sz w:val="20"/>
          <w:szCs w:val="20"/>
        </w:rPr>
        <w:t>όπως διαγράφεται στα αρ. 633 επ. ΙτΚΠολΔ, ανεξαρτήτως ποσού, με παρόμοια διαδικασία με την ημεδαπή.</w:t>
      </w:r>
    </w:p>
  </w:footnote>
  <w:footnote w:id="117">
    <w:p w:rsidR="00346644" w:rsidRPr="006207BE" w:rsidRDefault="00346644" w:rsidP="00931119">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iCs/>
        </w:rPr>
        <w:t>«</w:t>
      </w:r>
      <w:r w:rsidRPr="006207BE">
        <w:rPr>
          <w:rFonts w:cs="Times New Roman"/>
          <w:iCs/>
          <w:lang w:val="en-US"/>
        </w:rPr>
        <w:t>Giudice</w:t>
      </w:r>
      <w:r w:rsidRPr="006207BE">
        <w:rPr>
          <w:rFonts w:cs="Times New Roman"/>
          <w:iCs/>
        </w:rPr>
        <w:t xml:space="preserve"> </w:t>
      </w:r>
      <w:r w:rsidRPr="006207BE">
        <w:rPr>
          <w:rFonts w:cs="Times New Roman"/>
          <w:iCs/>
          <w:lang w:val="en-US"/>
        </w:rPr>
        <w:t>di</w:t>
      </w:r>
      <w:r w:rsidRPr="006207BE">
        <w:rPr>
          <w:rFonts w:cs="Times New Roman"/>
          <w:iCs/>
        </w:rPr>
        <w:t xml:space="preserve"> </w:t>
      </w:r>
      <w:r w:rsidRPr="006207BE">
        <w:rPr>
          <w:rFonts w:cs="Times New Roman"/>
          <w:iCs/>
          <w:lang w:val="en-US"/>
        </w:rPr>
        <w:t>pace</w:t>
      </w:r>
      <w:r w:rsidRPr="006207BE">
        <w:rPr>
          <w:rFonts w:cs="Times New Roman"/>
          <w:iCs/>
        </w:rPr>
        <w:t>», ο οποίος είναι αρμόδιος, κατά το αρ. 7 ΙτΚΠολΔ για υποθέσεις κινητών έως 5.000 ευρώ, όταν από το νόμο δεν αποδίδονται σε άλλο δικαστή, όπως, κατά το άρθρο.</w:t>
      </w:r>
      <w:r w:rsidRPr="006207BE">
        <w:rPr>
          <w:rFonts w:cs="Times New Roman"/>
          <w:iCs/>
          <w:lang w:val="en-US"/>
        </w:rPr>
        <w:t> </w:t>
      </w:r>
      <w:r w:rsidRPr="006207BE">
        <w:rPr>
          <w:rFonts w:cs="Times New Roman"/>
          <w:iCs/>
        </w:rPr>
        <w:t>1 του Νομοθετικού Διατάγματος αριθ.</w:t>
      </w:r>
      <w:r w:rsidRPr="006207BE">
        <w:rPr>
          <w:rFonts w:cs="Times New Roman"/>
          <w:iCs/>
          <w:lang w:val="en-US"/>
        </w:rPr>
        <w:t> </w:t>
      </w:r>
      <w:r w:rsidRPr="006207BE">
        <w:rPr>
          <w:rFonts w:cs="Times New Roman"/>
          <w:iCs/>
        </w:rPr>
        <w:t xml:space="preserve">51 της 02.19.1998, </w:t>
      </w:r>
      <w:r w:rsidRPr="006207BE">
        <w:rPr>
          <w:rFonts w:cs="Times New Roman"/>
          <w:iCs/>
          <w:lang w:val="en-US"/>
        </w:rPr>
        <w:t>ratione</w:t>
      </w:r>
      <w:r w:rsidRPr="006207BE">
        <w:rPr>
          <w:rFonts w:cs="Times New Roman"/>
          <w:iCs/>
        </w:rPr>
        <w:t xml:space="preserve"> </w:t>
      </w:r>
      <w:r w:rsidRPr="006207BE">
        <w:rPr>
          <w:rFonts w:cs="Times New Roman"/>
          <w:iCs/>
          <w:lang w:val="en-US"/>
        </w:rPr>
        <w:t>materiae</w:t>
      </w:r>
      <w:r w:rsidRPr="006207BE">
        <w:rPr>
          <w:rFonts w:cs="Times New Roman"/>
          <w:iCs/>
        </w:rPr>
        <w:t>,</w:t>
      </w:r>
      <w:r w:rsidRPr="006207BE">
        <w:rPr>
          <w:rFonts w:cs="Times New Roman"/>
          <w:iCs/>
          <w:lang w:val="en-US"/>
        </w:rPr>
        <w:t> </w:t>
      </w:r>
      <w:r w:rsidRPr="006207BE">
        <w:rPr>
          <w:rFonts w:cs="Times New Roman"/>
          <w:iCs/>
        </w:rPr>
        <w:t>οι μισθώσεις στο Πρωτοδικείο, για αυτοκινητιστικές διαφορές έως 20.000 ευρώ, αρμοδιότητα η οποία, κατά το ν. 13ης Ιουλίου 2017/116 θα αυξηθεί από Νοέμβριο 2021, σε 50.000 αντιστοιχα, καθώς, και για υποθέσεις συγκυριότητας, γειτονικού Δικαίου, κανονισμού ορίων, οροφοκτησίας και υποθέσεις κοινωνικής ασφάλισης.</w:t>
      </w:r>
    </w:p>
  </w:footnote>
  <w:footnote w:id="118">
    <w:p w:rsidR="00346644" w:rsidRPr="006207BE" w:rsidRDefault="00346644" w:rsidP="00931119">
      <w:pPr>
        <w:pStyle w:val="FootnoteText"/>
        <w:rPr>
          <w:rFonts w:cs="Times New Roman"/>
          <w:iCs/>
        </w:rPr>
      </w:pPr>
      <w:r w:rsidRPr="006207BE">
        <w:rPr>
          <w:rStyle w:val="FootnoteReference"/>
        </w:rPr>
        <w:footnoteRef/>
      </w:r>
      <w:r w:rsidRPr="006207BE">
        <w:rPr>
          <w:rFonts w:cs="Times New Roman"/>
          <w:iCs/>
        </w:rPr>
        <w:t xml:space="preserve"> αρ. 311 ΙτΚΠολΔ. </w:t>
      </w:r>
    </w:p>
  </w:footnote>
  <w:footnote w:id="119">
    <w:p w:rsidR="00346644" w:rsidRPr="006207BE" w:rsidRDefault="00346644" w:rsidP="00931119">
      <w:pPr>
        <w:pStyle w:val="FootnoteText"/>
        <w:rPr>
          <w:rStyle w:val="FootnoteReference"/>
        </w:rPr>
      </w:pPr>
      <w:r w:rsidRPr="006207BE">
        <w:rPr>
          <w:rStyle w:val="FootnoteReference"/>
        </w:rPr>
        <w:footnoteRef/>
      </w:r>
      <w:r w:rsidRPr="006207BE">
        <w:rPr>
          <w:rStyle w:val="FootnoteReference"/>
        </w:rPr>
        <w:t xml:space="preserve"> </w:t>
      </w:r>
      <w:r w:rsidRPr="006207BE">
        <w:rPr>
          <w:rFonts w:cs="Times New Roman"/>
          <w:iCs/>
        </w:rPr>
        <w:t xml:space="preserve">αρ. 80 ΙτΚΠολΔ. </w:t>
      </w:r>
    </w:p>
  </w:footnote>
  <w:footnote w:id="120">
    <w:p w:rsidR="00346644" w:rsidRPr="006207BE" w:rsidRDefault="00346644" w:rsidP="00931119">
      <w:pPr>
        <w:pStyle w:val="FootnoteText"/>
        <w:rPr>
          <w:rFonts w:cs="Times New Roman"/>
          <w:iCs/>
        </w:rPr>
      </w:pPr>
      <w:r w:rsidRPr="006207BE">
        <w:rPr>
          <w:rStyle w:val="FootnoteReference"/>
        </w:rPr>
        <w:footnoteRef/>
      </w:r>
      <w:r w:rsidRPr="006207BE">
        <w:rPr>
          <w:rFonts w:cs="Times New Roman"/>
          <w:iCs/>
        </w:rPr>
        <w:t xml:space="preserve"> αρ. 80 παρ. 2 ΙτΚΠολΔ.</w:t>
      </w:r>
    </w:p>
  </w:footnote>
  <w:footnote w:id="121">
    <w:p w:rsidR="00346644" w:rsidRPr="006207BE" w:rsidRDefault="00346644" w:rsidP="00931119">
      <w:pPr>
        <w:pStyle w:val="FootnoteText"/>
        <w:rPr>
          <w:rFonts w:cs="Times New Roman"/>
          <w:iCs/>
        </w:rPr>
      </w:pPr>
      <w:r w:rsidRPr="006207BE">
        <w:rPr>
          <w:rStyle w:val="FootnoteReference"/>
        </w:rPr>
        <w:footnoteRef/>
      </w:r>
      <w:r w:rsidRPr="006207BE">
        <w:rPr>
          <w:rStyle w:val="FootnoteReference"/>
        </w:rPr>
        <w:t xml:space="preserve"> </w:t>
      </w:r>
      <w:r w:rsidRPr="006207BE">
        <w:rPr>
          <w:rFonts w:cs="Times New Roman"/>
          <w:iCs/>
        </w:rPr>
        <w:t>αρ. 339 ΙτΚΠολΔ .</w:t>
      </w:r>
    </w:p>
  </w:footnote>
  <w:footnote w:id="122">
    <w:p w:rsidR="00346644" w:rsidRPr="006207BE" w:rsidRDefault="00346644" w:rsidP="00931119">
      <w:pPr>
        <w:spacing w:after="0"/>
        <w:jc w:val="both"/>
        <w:rPr>
          <w:sz w:val="20"/>
          <w:szCs w:val="20"/>
          <w:lang w:val="en-US"/>
        </w:rPr>
      </w:pPr>
      <w:r w:rsidRPr="006207BE">
        <w:rPr>
          <w:rStyle w:val="FootnoteReference"/>
          <w:sz w:val="20"/>
          <w:szCs w:val="20"/>
        </w:rPr>
        <w:footnoteRef/>
      </w:r>
      <w:r w:rsidRPr="006207BE">
        <w:rPr>
          <w:sz w:val="20"/>
          <w:szCs w:val="20"/>
        </w:rPr>
        <w:t xml:space="preserve"> </w:t>
      </w:r>
      <w:r w:rsidRPr="006207BE">
        <w:rPr>
          <w:rFonts w:cs="Times New Roman"/>
          <w:iCs/>
          <w:sz w:val="20"/>
          <w:szCs w:val="20"/>
        </w:rPr>
        <w:t>«</w:t>
      </w:r>
      <w:r w:rsidRPr="006207BE">
        <w:rPr>
          <w:rFonts w:cs="Times New Roman"/>
          <w:sz w:val="20"/>
          <w:szCs w:val="20"/>
        </w:rPr>
        <w:t xml:space="preserve">mediazione obliggatoria», θεσμός ο οποίος, κατά το αρ. 5 ν.δ. 28/2010, όπως τροποποιήθηκε με το ν. 96/2017, ισχύει, υποχρεωτικά για υποθέσεις εμπραγμάτου δικαίου, κληρονομικής διαδοχής, οικογενειακές διαφορες, μισθώσεις, δάνεια, αποζημίωση για τις ζημίες που προκύπτουν από την ιατρική και την υγειονομική ευθύνη, αποζημίωση για δυσφήμιση μέσω του Τύπου ή άλλων μέσων διαφήμισης και ασφαλιστικές, τραπεζικές και χρηματοοικονομικές συμβάσεις. Τα στοιχεία δείχνουν προοδευτική αύξηση στη διαδικασία διαμεσολάβησης μετά την πρώτη συνεδρίαση. Το Υπουργείο Δικαιοσύνης της Ιταλίας ανακοίνωσε, πρόσφατα, τα επίσημα στοιχεία για τις αιτήσεις διαμεσολάβησης έτους 2017, περίοδο κατά την οποία κατατέθηκαν 84.000 αιτήσεις, 6.000 περισσότερες από το προηγούμενο έτος. Επιπλέον, τα στατιστικά στοιχεία δείχνουν ότι, όταν τα μέρη αποφασίζουν να παραμείνουν στο τραπέζι της διαμεσολάβησης μετά την πρώτη συνεδρίαση, η συμφωνία επιτυγχάνεται σε 43% των περιπτώσεων, ενώ, η αμοιβή του μεσολαβητή, που είναι επί του παρόντος δωρεάν για την πρώτη συνεδρίαση, ορίζεται σε 40 ευρώ για διαφορές αξίας μικρότερης των 1000 ευρώ, 80 για διαφορές μέχρι 10.000 ευρώ, 180 ευρώ για διαφορές έως 50.000 ευρώ και 200 ευρώ για διαφορές ύψους άνω των 50.000 ευρώ, εγγ. </w:t>
      </w:r>
      <w:r w:rsidRPr="006207BE">
        <w:rPr>
          <w:rFonts w:cs="Times New Roman"/>
          <w:sz w:val="20"/>
          <w:szCs w:val="20"/>
          <w:lang w:val="en-US"/>
        </w:rPr>
        <w:t xml:space="preserve">La mediazione: disciplina, criticità e prospettive di crescita dell’istituto deflattivo, Consiglio Nazionale dei Dottori Commercialisti e degli Esperti Contabili, </w:t>
      </w:r>
      <w:r w:rsidRPr="006207BE">
        <w:rPr>
          <w:rFonts w:cs="Times New Roman"/>
          <w:sz w:val="20"/>
          <w:szCs w:val="20"/>
        </w:rPr>
        <w:t>Ιούνιος</w:t>
      </w:r>
      <w:r w:rsidRPr="006207BE">
        <w:rPr>
          <w:rFonts w:cs="Times New Roman"/>
          <w:sz w:val="20"/>
          <w:szCs w:val="20"/>
          <w:lang w:val="en-US"/>
        </w:rPr>
        <w:t xml:space="preserve"> 2018.</w:t>
      </w:r>
    </w:p>
  </w:footnote>
  <w:footnote w:id="123">
    <w:p w:rsidR="00346644" w:rsidRPr="006207BE" w:rsidRDefault="00346644" w:rsidP="00931119">
      <w:pPr>
        <w:pStyle w:val="FootnoteText"/>
        <w:jc w:val="both"/>
        <w:rPr>
          <w:lang w:val="en-US"/>
        </w:rPr>
      </w:pPr>
      <w:r w:rsidRPr="006207BE">
        <w:rPr>
          <w:rStyle w:val="FootnoteReference"/>
        </w:rPr>
        <w:footnoteRef/>
      </w:r>
      <w:r w:rsidRPr="006207BE">
        <w:rPr>
          <w:rFonts w:cs="Times New Roman"/>
          <w:iCs/>
        </w:rPr>
        <w:t xml:space="preserve"> </w:t>
      </w:r>
      <w:hyperlink r:id="rId25" w:history="1">
        <w:r w:rsidRPr="006207BE">
          <w:rPr>
            <w:rStyle w:val="Hyperlink"/>
            <w:rFonts w:cs="Times New Roman"/>
            <w:iCs/>
            <w:lang w:val="en-US"/>
          </w:rPr>
          <w:t>http</w:t>
        </w:r>
        <w:r w:rsidRPr="006207BE">
          <w:rPr>
            <w:rStyle w:val="Hyperlink"/>
            <w:rFonts w:cs="Times New Roman"/>
            <w:iCs/>
          </w:rPr>
          <w:t>://</w:t>
        </w:r>
        <w:r w:rsidRPr="006207BE">
          <w:rPr>
            <w:rStyle w:val="Hyperlink"/>
            <w:rFonts w:cs="Times New Roman"/>
            <w:iCs/>
            <w:lang w:val="en-US"/>
          </w:rPr>
          <w:t>ot</w:t>
        </w:r>
        <w:r w:rsidRPr="006207BE">
          <w:rPr>
            <w:rStyle w:val="Hyperlink"/>
            <w:rFonts w:cs="Times New Roman"/>
            <w:iCs/>
          </w:rPr>
          <w:t>11</w:t>
        </w:r>
        <w:r w:rsidRPr="006207BE">
          <w:rPr>
            <w:rStyle w:val="Hyperlink"/>
            <w:rFonts w:cs="Times New Roman"/>
            <w:iCs/>
            <w:lang w:val="en-US"/>
          </w:rPr>
          <w:t>ot</w:t>
        </w:r>
        <w:r w:rsidRPr="006207BE">
          <w:rPr>
            <w:rStyle w:val="Hyperlink"/>
            <w:rFonts w:cs="Times New Roman"/>
            <w:iCs/>
          </w:rPr>
          <w:t>2.</w:t>
        </w:r>
        <w:r w:rsidRPr="006207BE">
          <w:rPr>
            <w:rStyle w:val="Hyperlink"/>
            <w:rFonts w:cs="Times New Roman"/>
            <w:iCs/>
            <w:lang w:val="en-US"/>
          </w:rPr>
          <w:t>it</w:t>
        </w:r>
        <w:r w:rsidRPr="006207BE">
          <w:rPr>
            <w:rStyle w:val="Hyperlink"/>
            <w:rFonts w:cs="Times New Roman"/>
            <w:iCs/>
          </w:rPr>
          <w:t>/</w:t>
        </w:r>
        <w:r w:rsidRPr="006207BE">
          <w:rPr>
            <w:rStyle w:val="Hyperlink"/>
            <w:rFonts w:cs="Times New Roman"/>
            <w:iCs/>
            <w:lang w:val="en-US"/>
          </w:rPr>
          <w:t>comitato</w:t>
        </w:r>
        <w:r w:rsidRPr="006207BE">
          <w:rPr>
            <w:rStyle w:val="Hyperlink"/>
            <w:rFonts w:cs="Times New Roman"/>
            <w:iCs/>
          </w:rPr>
          <w:t>-</w:t>
        </w:r>
        <w:r w:rsidRPr="006207BE">
          <w:rPr>
            <w:rStyle w:val="Hyperlink"/>
            <w:rFonts w:cs="Times New Roman"/>
            <w:iCs/>
            <w:lang w:val="en-US"/>
          </w:rPr>
          <w:t>di</w:t>
        </w:r>
        <w:r w:rsidRPr="006207BE">
          <w:rPr>
            <w:rStyle w:val="Hyperlink"/>
            <w:rFonts w:cs="Times New Roman"/>
            <w:iCs/>
          </w:rPr>
          <w:t>-</w:t>
        </w:r>
        <w:r w:rsidRPr="006207BE">
          <w:rPr>
            <w:rStyle w:val="Hyperlink"/>
            <w:rFonts w:cs="Times New Roman"/>
            <w:iCs/>
            <w:lang w:val="en-US"/>
          </w:rPr>
          <w:t>pilotaggio</w:t>
        </w:r>
        <w:r w:rsidRPr="006207BE">
          <w:rPr>
            <w:rStyle w:val="Hyperlink"/>
            <w:rFonts w:cs="Times New Roman"/>
            <w:iCs/>
          </w:rPr>
          <w:t>/</w:t>
        </w:r>
        <w:r w:rsidRPr="006207BE">
          <w:rPr>
            <w:rStyle w:val="Hyperlink"/>
            <w:rFonts w:cs="Times New Roman"/>
            <w:iCs/>
            <w:lang w:val="en-US"/>
          </w:rPr>
          <w:t>catalogo</w:t>
        </w:r>
        <w:r w:rsidRPr="006207BE">
          <w:rPr>
            <w:rStyle w:val="Hyperlink"/>
            <w:rFonts w:cs="Times New Roman"/>
            <w:iCs/>
          </w:rPr>
          <w:t>-</w:t>
        </w:r>
        <w:r w:rsidRPr="006207BE">
          <w:rPr>
            <w:rStyle w:val="Hyperlink"/>
            <w:rFonts w:cs="Times New Roman"/>
            <w:iCs/>
            <w:lang w:val="en-US"/>
          </w:rPr>
          <w:t>esperienze</w:t>
        </w:r>
        <w:r w:rsidRPr="006207BE">
          <w:rPr>
            <w:rStyle w:val="Hyperlink"/>
            <w:rFonts w:cs="Times New Roman"/>
            <w:iCs/>
          </w:rPr>
          <w:t>/</w:t>
        </w:r>
        <w:r w:rsidRPr="006207BE">
          <w:rPr>
            <w:rStyle w:val="Hyperlink"/>
            <w:rFonts w:cs="Times New Roman"/>
            <w:iCs/>
            <w:lang w:val="en-US"/>
          </w:rPr>
          <w:t>estensione</w:t>
        </w:r>
        <w:r w:rsidRPr="006207BE">
          <w:rPr>
            <w:rStyle w:val="Hyperlink"/>
            <w:rFonts w:cs="Times New Roman"/>
            <w:iCs/>
          </w:rPr>
          <w:t>-</w:t>
        </w:r>
        <w:r w:rsidRPr="006207BE">
          <w:rPr>
            <w:rStyle w:val="Hyperlink"/>
            <w:rFonts w:cs="Times New Roman"/>
            <w:iCs/>
            <w:lang w:val="en-US"/>
          </w:rPr>
          <w:t>del</w:t>
        </w:r>
        <w:r w:rsidRPr="006207BE">
          <w:rPr>
            <w:rStyle w:val="Hyperlink"/>
            <w:rFonts w:cs="Times New Roman"/>
            <w:iCs/>
          </w:rPr>
          <w:t>-</w:t>
        </w:r>
        <w:r w:rsidRPr="006207BE">
          <w:rPr>
            <w:rStyle w:val="Hyperlink"/>
            <w:rFonts w:cs="Times New Roman"/>
            <w:iCs/>
            <w:lang w:val="en-US"/>
          </w:rPr>
          <w:t>processo</w:t>
        </w:r>
        <w:r w:rsidRPr="006207BE">
          <w:rPr>
            <w:rStyle w:val="Hyperlink"/>
            <w:rFonts w:cs="Times New Roman"/>
            <w:iCs/>
          </w:rPr>
          <w:t>-</w:t>
        </w:r>
        <w:r w:rsidRPr="006207BE">
          <w:rPr>
            <w:rStyle w:val="Hyperlink"/>
            <w:rFonts w:cs="Times New Roman"/>
            <w:iCs/>
            <w:lang w:val="en-US"/>
          </w:rPr>
          <w:t>civile</w:t>
        </w:r>
        <w:r w:rsidRPr="006207BE">
          <w:rPr>
            <w:rStyle w:val="Hyperlink"/>
            <w:rFonts w:cs="Times New Roman"/>
            <w:iCs/>
          </w:rPr>
          <w:t>-</w:t>
        </w:r>
        <w:r w:rsidRPr="006207BE">
          <w:rPr>
            <w:rStyle w:val="Hyperlink"/>
            <w:rFonts w:cs="Times New Roman"/>
            <w:iCs/>
            <w:lang w:val="en-US"/>
          </w:rPr>
          <w:t>telematico</w:t>
        </w:r>
        <w:r w:rsidRPr="006207BE">
          <w:rPr>
            <w:rStyle w:val="Hyperlink"/>
            <w:rFonts w:cs="Times New Roman"/>
            <w:iCs/>
          </w:rPr>
          <w:t>-</w:t>
        </w:r>
        <w:r w:rsidRPr="006207BE">
          <w:rPr>
            <w:rStyle w:val="Hyperlink"/>
            <w:rFonts w:cs="Times New Roman"/>
            <w:iCs/>
            <w:lang w:val="en-US"/>
          </w:rPr>
          <w:t>ai</w:t>
        </w:r>
        <w:r w:rsidRPr="006207BE">
          <w:rPr>
            <w:rStyle w:val="Hyperlink"/>
            <w:rFonts w:cs="Times New Roman"/>
            <w:iCs/>
          </w:rPr>
          <w:t>-</w:t>
        </w:r>
        <w:r w:rsidRPr="006207BE">
          <w:rPr>
            <w:rStyle w:val="Hyperlink"/>
            <w:rFonts w:cs="Times New Roman"/>
            <w:iCs/>
            <w:lang w:val="en-US"/>
          </w:rPr>
          <w:t>giudici</w:t>
        </w:r>
        <w:r w:rsidRPr="006207BE">
          <w:rPr>
            <w:rStyle w:val="Hyperlink"/>
            <w:rFonts w:cs="Times New Roman"/>
            <w:iCs/>
          </w:rPr>
          <w:t>-</w:t>
        </w:r>
        <w:r w:rsidRPr="006207BE">
          <w:rPr>
            <w:rStyle w:val="Hyperlink"/>
            <w:rFonts w:cs="Times New Roman"/>
            <w:iCs/>
            <w:lang w:val="en-US"/>
          </w:rPr>
          <w:t>di</w:t>
        </w:r>
      </w:hyperlink>
      <w:r w:rsidRPr="006207BE">
        <w:rPr>
          <w:rFonts w:cs="Times New Roman"/>
          <w:iCs/>
        </w:rPr>
        <w:t xml:space="preserve">, με ημ. προσβ. </w:t>
      </w:r>
      <w:r w:rsidRPr="006207BE">
        <w:rPr>
          <w:rFonts w:cs="Times New Roman"/>
          <w:iCs/>
          <w:lang w:val="en-US"/>
        </w:rPr>
        <w:t xml:space="preserve">19.8.2019, όπως συμβαίνει και στα λοιπά Δικαστήρια της χώρας, εγγ. Lupo G., Bailey J., Designing and Implementing e-Justice Systems: Some Lessons Learned from EU and Canadian Examples, Laws 2014.3, σ. 353–387. </w:t>
      </w:r>
      <w:r w:rsidRPr="006207BE">
        <w:rPr>
          <w:lang w:val="en-US"/>
        </w:rPr>
        <w:t xml:space="preserve"> </w:t>
      </w:r>
    </w:p>
  </w:footnote>
  <w:footnote w:id="124">
    <w:p w:rsidR="00346644" w:rsidRPr="006207BE" w:rsidRDefault="00346644" w:rsidP="00931119">
      <w:pPr>
        <w:pStyle w:val="NormalWeb"/>
        <w:spacing w:before="0" w:beforeAutospacing="0" w:after="0" w:afterAutospacing="0"/>
        <w:jc w:val="both"/>
        <w:rPr>
          <w:rFonts w:asciiTheme="minorHAnsi" w:hAnsiTheme="minorHAnsi"/>
          <w:sz w:val="20"/>
          <w:szCs w:val="20"/>
        </w:rPr>
      </w:pPr>
      <w:r w:rsidRPr="006207BE">
        <w:rPr>
          <w:rStyle w:val="FootnoteReference"/>
          <w:rFonts w:asciiTheme="minorHAnsi" w:hAnsiTheme="minorHAnsi"/>
          <w:sz w:val="20"/>
          <w:szCs w:val="20"/>
        </w:rPr>
        <w:footnoteRef/>
      </w:r>
      <w:r w:rsidRPr="006207BE">
        <w:rPr>
          <w:rFonts w:asciiTheme="minorHAnsi" w:hAnsiTheme="minorHAnsi"/>
          <w:sz w:val="20"/>
          <w:szCs w:val="20"/>
        </w:rPr>
        <w:t xml:space="preserve"> «</w:t>
      </w:r>
      <w:r w:rsidRPr="006207BE">
        <w:rPr>
          <w:rFonts w:asciiTheme="minorHAnsi" w:eastAsiaTheme="minorEastAsia" w:hAnsiTheme="minorHAnsi"/>
          <w:sz w:val="20"/>
          <w:szCs w:val="20"/>
        </w:rPr>
        <w:t xml:space="preserve">ingiunzione di pagamento», ανεξαρτήτως ποσού, όπως διαγράφεται στα αρ. 633 επ. ΙτΚΠολΔ, με παρόμοια διαδικασία με την ημεδαπή, ήτοι, επί τη βάσει έγγραφης απόδειξης της απαίτησης και αιτιολογημένης ανακοπής. Ειδκότερα, εφόσον η απαίτηση αποδεικνύεται εγγράφως, εκδίδεται από το Δικαστή η διαταγή πληρωμής, η οποία επιδίδεται στον καθ’ ου με Δικαστικό Επιμελητή, εντός 40 ημερών από την έκδοσή της, ο δε τελευταίος μπορεί να ασκήσει αιτιολογημένη ανακοπή σε βάρος της, οπότε και η διαδικασία συνεχίζεται κατά το κοινό δικονομικό δίκαιο, </w:t>
      </w:r>
      <w:r w:rsidRPr="006207BE">
        <w:rPr>
          <w:rFonts w:asciiTheme="minorHAnsi" w:hAnsiTheme="minorHAnsi"/>
          <w:iCs/>
          <w:sz w:val="20"/>
          <w:szCs w:val="20"/>
          <w:lang w:val="en-US"/>
        </w:rPr>
        <w:t>Lupo</w:t>
      </w:r>
      <w:r w:rsidRPr="006207BE">
        <w:rPr>
          <w:rFonts w:asciiTheme="minorHAnsi" w:hAnsiTheme="minorHAnsi"/>
          <w:iCs/>
          <w:sz w:val="20"/>
          <w:szCs w:val="20"/>
        </w:rPr>
        <w:t xml:space="preserve"> </w:t>
      </w:r>
      <w:r w:rsidRPr="006207BE">
        <w:rPr>
          <w:rFonts w:asciiTheme="minorHAnsi" w:hAnsiTheme="minorHAnsi"/>
          <w:iCs/>
          <w:sz w:val="20"/>
          <w:szCs w:val="20"/>
          <w:lang w:val="en-US"/>
        </w:rPr>
        <w:t>G</w:t>
      </w:r>
      <w:r w:rsidRPr="006207BE">
        <w:rPr>
          <w:rFonts w:asciiTheme="minorHAnsi" w:hAnsiTheme="minorHAnsi"/>
          <w:iCs/>
          <w:sz w:val="20"/>
          <w:szCs w:val="20"/>
        </w:rPr>
        <w:t xml:space="preserve">., </w:t>
      </w:r>
      <w:r w:rsidRPr="006207BE">
        <w:rPr>
          <w:rFonts w:asciiTheme="minorHAnsi" w:hAnsiTheme="minorHAnsi"/>
          <w:iCs/>
          <w:sz w:val="20"/>
          <w:szCs w:val="20"/>
          <w:lang w:val="en-US"/>
        </w:rPr>
        <w:t>Bailey</w:t>
      </w:r>
      <w:r w:rsidRPr="006207BE">
        <w:rPr>
          <w:rFonts w:asciiTheme="minorHAnsi" w:hAnsiTheme="minorHAnsi"/>
          <w:iCs/>
          <w:sz w:val="20"/>
          <w:szCs w:val="20"/>
        </w:rPr>
        <w:t xml:space="preserve"> </w:t>
      </w:r>
      <w:r w:rsidRPr="006207BE">
        <w:rPr>
          <w:rFonts w:asciiTheme="minorHAnsi" w:hAnsiTheme="minorHAnsi"/>
          <w:iCs/>
          <w:sz w:val="20"/>
          <w:szCs w:val="20"/>
          <w:lang w:val="en-US"/>
        </w:rPr>
        <w:t>J</w:t>
      </w:r>
      <w:r w:rsidRPr="006207BE">
        <w:rPr>
          <w:rFonts w:asciiTheme="minorHAnsi" w:hAnsiTheme="minorHAnsi"/>
          <w:iCs/>
          <w:sz w:val="20"/>
          <w:szCs w:val="20"/>
        </w:rPr>
        <w:t xml:space="preserve">., ό.π., σημ. 60, σ. 382.  </w:t>
      </w:r>
    </w:p>
  </w:footnote>
  <w:footnote w:id="125">
    <w:p w:rsidR="00346644" w:rsidRPr="006207BE" w:rsidRDefault="00346644" w:rsidP="00931119">
      <w:pPr>
        <w:pStyle w:val="FootnoteText"/>
        <w:jc w:val="both"/>
      </w:pPr>
      <w:r w:rsidRPr="006207BE">
        <w:rPr>
          <w:rStyle w:val="FootnoteReference"/>
        </w:rPr>
        <w:footnoteRef/>
      </w:r>
      <w:r w:rsidRPr="006207BE">
        <w:t xml:space="preserve"> </w:t>
      </w:r>
      <w:r w:rsidRPr="006207BE">
        <w:rPr>
          <w:rFonts w:cs="Times New Roman"/>
        </w:rPr>
        <w:t>«Processo Civile Telematico», στην Ιταλία το 60% των διαταγών πληρωμής συμπληρώνονται ηλεκτρονικά, εγγ. και για την ιστορία της εφαρμογής «PCT»,  Lupo G., Bailey J., ό.π..</w:t>
      </w:r>
    </w:p>
  </w:footnote>
  <w:footnote w:id="126">
    <w:p w:rsidR="00346644" w:rsidRPr="006207BE" w:rsidRDefault="00346644" w:rsidP="00931119">
      <w:pPr>
        <w:autoSpaceDE w:val="0"/>
        <w:autoSpaceDN w:val="0"/>
        <w:adjustRightInd w:val="0"/>
        <w:spacing w:after="0" w:line="240" w:lineRule="auto"/>
        <w:jc w:val="both"/>
        <w:rPr>
          <w:sz w:val="20"/>
          <w:szCs w:val="20"/>
          <w:lang w:val="en-US"/>
        </w:rPr>
      </w:pPr>
      <w:r w:rsidRPr="006207BE">
        <w:rPr>
          <w:rStyle w:val="FootnoteReference"/>
          <w:sz w:val="20"/>
          <w:szCs w:val="20"/>
        </w:rPr>
        <w:footnoteRef/>
      </w:r>
      <w:r w:rsidRPr="006207BE">
        <w:rPr>
          <w:sz w:val="20"/>
          <w:szCs w:val="20"/>
        </w:rPr>
        <w:t xml:space="preserve"> </w:t>
      </w:r>
      <w:r w:rsidRPr="006207BE">
        <w:rPr>
          <w:rFonts w:cs="Times New Roman"/>
          <w:sz w:val="20"/>
          <w:szCs w:val="20"/>
        </w:rPr>
        <w:t>ο Δικαστικός Χάρτης της Πορτογαλίας, ειδικά, στον πρώτο βαθμό δικαιοδοσίας, επανασχεδιάστηκε, στα πλαίσια του «Μνημονίου Συνεργασίας» (Μο</w:t>
      </w:r>
      <w:r w:rsidRPr="006207BE">
        <w:rPr>
          <w:rFonts w:cs="Times New Roman"/>
          <w:sz w:val="20"/>
          <w:szCs w:val="20"/>
          <w:lang w:val="en-US"/>
        </w:rPr>
        <w:t>U</w:t>
      </w:r>
      <w:r w:rsidRPr="006207BE">
        <w:rPr>
          <w:rFonts w:cs="Times New Roman"/>
          <w:sz w:val="20"/>
          <w:szCs w:val="20"/>
        </w:rPr>
        <w:t>), που υπέγραψε η χώρα με την Ευρωπαϊκή Επιτροπή, την Ευρωπαϊκή Κεντρική Τράπεζα και το Διεθνές Νομισματικό Ταμείο την 17</w:t>
      </w:r>
      <w:r w:rsidRPr="006207BE">
        <w:rPr>
          <w:rFonts w:cs="Times New Roman"/>
          <w:sz w:val="20"/>
          <w:szCs w:val="20"/>
          <w:vertAlign w:val="superscript"/>
        </w:rPr>
        <w:t>η</w:t>
      </w:r>
      <w:r w:rsidRPr="006207BE">
        <w:rPr>
          <w:rFonts w:cs="Times New Roman"/>
          <w:sz w:val="20"/>
          <w:szCs w:val="20"/>
        </w:rPr>
        <w:t xml:space="preserve"> Μαΐου 2011, και τέθηκε σε ισχύ την 1.9.2014, κατά τον Ν. 62/2013 της 26</w:t>
      </w:r>
      <w:r w:rsidRPr="006207BE">
        <w:rPr>
          <w:rFonts w:cs="Times New Roman"/>
          <w:sz w:val="20"/>
          <w:szCs w:val="20"/>
          <w:vertAlign w:val="superscript"/>
        </w:rPr>
        <w:t>ης</w:t>
      </w:r>
      <w:r w:rsidRPr="006207BE">
        <w:rPr>
          <w:rFonts w:cs="Times New Roman"/>
          <w:sz w:val="20"/>
          <w:szCs w:val="20"/>
        </w:rPr>
        <w:t xml:space="preserve"> Αυγούστου, όπως τροποποιήθηκε, ήδη, έξι φορές, εγγ.  </w:t>
      </w:r>
      <w:r w:rsidRPr="006207BE">
        <w:rPr>
          <w:rFonts w:cs="Times New Roman"/>
          <w:sz w:val="20"/>
          <w:szCs w:val="20"/>
          <w:lang w:val="en-US"/>
        </w:rPr>
        <w:t xml:space="preserve">Fernando, P. (2012). Intertwining Judicial Reforms and the Use of ICT in Courts: A Brief Description of the Portuguese Experience. </w:t>
      </w:r>
      <w:r w:rsidRPr="006207BE">
        <w:rPr>
          <w:rFonts w:cs="Times New Roman"/>
          <w:iCs/>
          <w:sz w:val="20"/>
          <w:szCs w:val="20"/>
          <w:lang w:val="en-US"/>
        </w:rPr>
        <w:t>European Quarterly of Political Attitudes and Mentalities</w:t>
      </w:r>
      <w:r w:rsidRPr="006207BE">
        <w:rPr>
          <w:rFonts w:cs="Times New Roman"/>
          <w:sz w:val="20"/>
          <w:szCs w:val="20"/>
          <w:lang w:val="en-US"/>
        </w:rPr>
        <w:t>,</w:t>
      </w:r>
      <w:r w:rsidRPr="006207BE">
        <w:rPr>
          <w:rFonts w:cs="Times New Roman"/>
          <w:iCs/>
          <w:sz w:val="20"/>
          <w:szCs w:val="20"/>
          <w:lang w:val="en-US"/>
        </w:rPr>
        <w:t>8.</w:t>
      </w:r>
      <w:r w:rsidRPr="006207BE">
        <w:rPr>
          <w:rFonts w:cs="Times New Roman"/>
          <w:sz w:val="20"/>
          <w:szCs w:val="20"/>
          <w:lang w:val="en-US"/>
        </w:rPr>
        <w:t>7-20.</w:t>
      </w:r>
    </w:p>
  </w:footnote>
  <w:footnote w:id="127">
    <w:p w:rsidR="00346644" w:rsidRPr="006207BE" w:rsidRDefault="00346644" w:rsidP="00931119">
      <w:pPr>
        <w:pStyle w:val="FootnoteText"/>
        <w:jc w:val="both"/>
        <w:rPr>
          <w:lang w:val="en-US"/>
        </w:rPr>
      </w:pPr>
      <w:r w:rsidRPr="006207BE">
        <w:rPr>
          <w:rStyle w:val="FootnoteReference"/>
        </w:rPr>
        <w:footnoteRef/>
      </w:r>
      <w:r w:rsidRPr="006207BE">
        <w:rPr>
          <w:lang w:val="en-US"/>
        </w:rPr>
        <w:t xml:space="preserve"> </w:t>
      </w:r>
      <w:r w:rsidRPr="006207BE">
        <w:rPr>
          <w:rFonts w:cs="Times New Roman"/>
          <w:lang w:val="en-US"/>
        </w:rPr>
        <w:t xml:space="preserve">«Julgados de paz», που είχε καταργηθεί με τον ν. 214/88, Diogo Francisco Sampaio Lima, The Portugese Judicial System, 2013, </w:t>
      </w:r>
      <w:r w:rsidRPr="006207BE">
        <w:rPr>
          <w:rFonts w:cs="Times New Roman"/>
        </w:rPr>
        <w:t>διαθ</w:t>
      </w:r>
      <w:r w:rsidRPr="006207BE">
        <w:rPr>
          <w:rFonts w:cs="Times New Roman"/>
          <w:lang w:val="en-US"/>
        </w:rPr>
        <w:t xml:space="preserve">. </w:t>
      </w:r>
      <w:r w:rsidRPr="006207BE">
        <w:rPr>
          <w:rFonts w:cs="Times New Roman"/>
        </w:rPr>
        <w:t>εδώ</w:t>
      </w:r>
      <w:r w:rsidRPr="006207BE">
        <w:rPr>
          <w:rFonts w:cs="Times New Roman"/>
          <w:lang w:val="en-US"/>
        </w:rPr>
        <w:t xml:space="preserve">:  </w:t>
      </w:r>
      <w:hyperlink r:id="rId26" w:history="1">
        <w:r w:rsidRPr="006207BE">
          <w:rPr>
            <w:rFonts w:cs="Times New Roman"/>
            <w:lang w:val="en-US"/>
          </w:rPr>
          <w:t>https://www.repository.utl.pt/bitstream/10400.5/11261/1/DM-DFSL-2013.pdf</w:t>
        </w:r>
      </w:hyperlink>
      <w:r w:rsidRPr="006207BE">
        <w:rPr>
          <w:rFonts w:cs="Times New Roman"/>
          <w:lang w:val="en-US"/>
        </w:rPr>
        <w:t xml:space="preserve">, </w:t>
      </w:r>
      <w:r w:rsidRPr="006207BE">
        <w:rPr>
          <w:rFonts w:cs="Times New Roman"/>
        </w:rPr>
        <w:t>με</w:t>
      </w:r>
      <w:r w:rsidRPr="006207BE">
        <w:rPr>
          <w:rFonts w:cs="Times New Roman"/>
          <w:lang w:val="en-US"/>
        </w:rPr>
        <w:t xml:space="preserve"> </w:t>
      </w:r>
      <w:r w:rsidRPr="006207BE">
        <w:rPr>
          <w:rFonts w:cs="Times New Roman"/>
        </w:rPr>
        <w:t>ημ</w:t>
      </w:r>
      <w:r w:rsidRPr="006207BE">
        <w:rPr>
          <w:rFonts w:cs="Times New Roman"/>
          <w:lang w:val="en-US"/>
        </w:rPr>
        <w:t xml:space="preserve">. </w:t>
      </w:r>
      <w:r w:rsidRPr="006207BE">
        <w:rPr>
          <w:rFonts w:cs="Times New Roman"/>
        </w:rPr>
        <w:t>προσβ</w:t>
      </w:r>
      <w:r w:rsidRPr="006207BE">
        <w:rPr>
          <w:rFonts w:cs="Times New Roman"/>
          <w:lang w:val="en-US"/>
        </w:rPr>
        <w:t>. 9.9.2019.</w:t>
      </w:r>
    </w:p>
  </w:footnote>
  <w:footnote w:id="128">
    <w:p w:rsidR="00346644" w:rsidRPr="006207BE" w:rsidRDefault="00346644" w:rsidP="00931119">
      <w:pPr>
        <w:pStyle w:val="FootnoteText"/>
        <w:jc w:val="both"/>
        <w:rPr>
          <w:lang w:val="en-US"/>
        </w:rPr>
      </w:pPr>
      <w:r w:rsidRPr="006207BE">
        <w:rPr>
          <w:rStyle w:val="FootnoteReference"/>
        </w:rPr>
        <w:footnoteRef/>
      </w:r>
      <w:r w:rsidRPr="006207BE">
        <w:rPr>
          <w:lang w:val="en-US"/>
        </w:rPr>
        <w:t xml:space="preserve"> </w:t>
      </w:r>
      <w:r w:rsidRPr="006207BE">
        <w:rPr>
          <w:rFonts w:cs="Times New Roman"/>
        </w:rPr>
        <w:t>ν</w:t>
      </w:r>
      <w:r w:rsidRPr="006207BE">
        <w:rPr>
          <w:rFonts w:cs="Times New Roman"/>
          <w:lang w:val="en-US"/>
        </w:rPr>
        <w:t xml:space="preserve">. 78/2001, </w:t>
      </w:r>
      <w:r w:rsidRPr="006207BE">
        <w:rPr>
          <w:rFonts w:cs="Times New Roman"/>
        </w:rPr>
        <w:t>ΕτΚ</w:t>
      </w:r>
      <w:r w:rsidRPr="006207BE">
        <w:rPr>
          <w:rFonts w:cs="Times New Roman"/>
          <w:lang w:val="en-US"/>
        </w:rPr>
        <w:t xml:space="preserve"> (Diário da República) </w:t>
      </w:r>
      <w:r w:rsidRPr="006207BE">
        <w:rPr>
          <w:rFonts w:cs="Times New Roman"/>
        </w:rPr>
        <w:t>Α΄</w:t>
      </w:r>
      <w:r w:rsidRPr="006207BE">
        <w:rPr>
          <w:rFonts w:cs="Times New Roman"/>
          <w:lang w:val="en-US"/>
        </w:rPr>
        <w:t xml:space="preserve">161/13.7.2001, </w:t>
      </w:r>
      <w:r w:rsidRPr="006207BE">
        <w:rPr>
          <w:rFonts w:cs="Times New Roman"/>
        </w:rPr>
        <w:t>διαθ</w:t>
      </w:r>
      <w:r w:rsidRPr="006207BE">
        <w:rPr>
          <w:rFonts w:cs="Times New Roman"/>
          <w:lang w:val="en-US"/>
        </w:rPr>
        <w:t xml:space="preserve">. </w:t>
      </w:r>
      <w:r w:rsidRPr="006207BE">
        <w:rPr>
          <w:rFonts w:cs="Times New Roman"/>
        </w:rPr>
        <w:t>εδώ</w:t>
      </w:r>
      <w:r w:rsidRPr="006207BE">
        <w:rPr>
          <w:rFonts w:cs="Times New Roman"/>
          <w:lang w:val="en-US"/>
        </w:rPr>
        <w:t xml:space="preserve">: </w:t>
      </w:r>
      <w:hyperlink r:id="rId27" w:history="1">
        <w:r w:rsidRPr="006207BE">
          <w:rPr>
            <w:rFonts w:cs="Times New Roman"/>
            <w:lang w:val="en-US"/>
          </w:rPr>
          <w:t>https://dre.pt/pesquisa/-/search/388220/details/maximized</w:t>
        </w:r>
      </w:hyperlink>
      <w:r w:rsidRPr="006207BE">
        <w:rPr>
          <w:lang w:val="en-US"/>
        </w:rPr>
        <w:t>.</w:t>
      </w:r>
    </w:p>
  </w:footnote>
  <w:footnote w:id="129">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αρ. 16 ν. 78/2001.</w:t>
      </w:r>
    </w:p>
  </w:footnote>
  <w:footnote w:id="130">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αρ. 30 επ. Ν. 78/2001.</w:t>
      </w:r>
    </w:p>
  </w:footnote>
  <w:footnote w:id="131">
    <w:p w:rsidR="00346644" w:rsidRPr="006207BE" w:rsidRDefault="00346644" w:rsidP="00931119">
      <w:pPr>
        <w:pStyle w:val="FootnoteText"/>
        <w:jc w:val="both"/>
      </w:pPr>
      <w:r w:rsidRPr="006207BE">
        <w:rPr>
          <w:rStyle w:val="FootnoteReference"/>
        </w:rPr>
        <w:footnoteRef/>
      </w:r>
      <w:r w:rsidRPr="006207BE">
        <w:t xml:space="preserve"> </w:t>
      </w:r>
      <w:r w:rsidRPr="006207BE">
        <w:rPr>
          <w:rFonts w:cs="Times New Roman"/>
        </w:rPr>
        <w:t xml:space="preserve">και οι οποίες διέπονται από τον νόμο 269 της 1ης Σεπτεμβρίου 1998, ΕτΚ (Diário da República) Α 201/9.1.1998, διαθ. εδώ: </w:t>
      </w:r>
      <w:hyperlink r:id="rId28" w:history="1">
        <w:r w:rsidRPr="006207BE">
          <w:rPr>
            <w:rFonts w:cs="Times New Roman"/>
          </w:rPr>
          <w:t>https://dre.pt/pesquisa/-/search/566629/details/maximized</w:t>
        </w:r>
      </w:hyperlink>
      <w:r w:rsidRPr="006207BE">
        <w:t xml:space="preserve"> . </w:t>
      </w:r>
    </w:p>
  </w:footnote>
  <w:footnote w:id="132">
    <w:p w:rsidR="007F0AEF" w:rsidRPr="006207BE" w:rsidRDefault="007F0AEF" w:rsidP="007F0AEF">
      <w:pPr>
        <w:pStyle w:val="FootnoteText"/>
        <w:jc w:val="both"/>
      </w:pPr>
      <w:r w:rsidRPr="006207BE">
        <w:rPr>
          <w:rStyle w:val="FootnoteReference"/>
        </w:rPr>
        <w:footnoteRef/>
      </w:r>
      <w:r w:rsidRPr="006207BE">
        <w:t xml:space="preserve"> </w:t>
      </w:r>
      <w:r w:rsidRPr="006207BE">
        <w:rPr>
          <w:rFonts w:cs="Times New Roman"/>
        </w:rPr>
        <w:t>η οποία μπορεί να λάβει χώρα και προφορικά, κατ΄αρ. 43 , οπότε και την καταχωρεί σε έγγραφο ο Γραμματέας.</w:t>
      </w:r>
    </w:p>
  </w:footnote>
  <w:footnote w:id="133">
    <w:p w:rsidR="00346644" w:rsidRPr="006207BE" w:rsidRDefault="00346644" w:rsidP="007F0AEF">
      <w:pPr>
        <w:pStyle w:val="FootnoteText"/>
        <w:jc w:val="both"/>
      </w:pPr>
      <w:r w:rsidRPr="006207BE">
        <w:rPr>
          <w:rStyle w:val="FootnoteReference"/>
        </w:rPr>
        <w:footnoteRef/>
      </w:r>
      <w:r w:rsidR="007F0AEF" w:rsidRPr="006207BE">
        <w:rPr>
          <w:color w:val="000000"/>
          <w:shd w:val="clear" w:color="auto" w:fill="FFFFFF"/>
        </w:rPr>
        <w:t>στην οποία αναφέρονται συνοπτικά τα πραγματικά περιστατικά που στηρίζουν την επίδικη αξίωση, κατ΄</w:t>
      </w:r>
      <w:r w:rsidRPr="006207BE">
        <w:t xml:space="preserve"> </w:t>
      </w:r>
      <w:r w:rsidRPr="006207BE">
        <w:rPr>
          <w:rFonts w:cs="Times New Roman"/>
        </w:rPr>
        <w:t>αρ. 10 ν.  269/98.</w:t>
      </w:r>
    </w:p>
  </w:footnote>
  <w:footnote w:id="134">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αρ. 45 ν. 269/98.</w:t>
      </w:r>
      <w:r w:rsidRPr="006207BE">
        <w:t xml:space="preserve"> </w:t>
      </w:r>
    </w:p>
  </w:footnote>
  <w:footnote w:id="135">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αρ. 49 επ. ν. 269/98.</w:t>
      </w:r>
    </w:p>
  </w:footnote>
  <w:footnote w:id="136">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αρ. 4 επ.  ν. 78/2001.</w:t>
      </w:r>
    </w:p>
  </w:footnote>
  <w:footnote w:id="137">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w:t>
      </w:r>
      <w:r w:rsidRPr="006207BE">
        <w:rPr>
          <w:rFonts w:cs="Times New Roman"/>
          <w:lang w:val="en-US"/>
        </w:rPr>
        <w:t>injun</w:t>
      </w:r>
      <w:r w:rsidRPr="006207BE">
        <w:rPr>
          <w:rFonts w:cs="Times New Roman"/>
        </w:rPr>
        <w:t>çã</w:t>
      </w:r>
      <w:r w:rsidRPr="006207BE">
        <w:rPr>
          <w:rFonts w:cs="Times New Roman"/>
          <w:lang w:val="en-US"/>
        </w:rPr>
        <w:t>o</w:t>
      </w:r>
      <w:r w:rsidRPr="006207BE">
        <w:rPr>
          <w:rFonts w:cs="Times New Roman"/>
        </w:rPr>
        <w:t>» σε μετάφραση ό.π., εγγ. Ποδηματά, ό.π., σ. 65.</w:t>
      </w:r>
    </w:p>
  </w:footnote>
  <w:footnote w:id="138">
    <w:p w:rsidR="00346644" w:rsidRPr="006207BE" w:rsidRDefault="00346644" w:rsidP="00931119">
      <w:pPr>
        <w:pStyle w:val="FootnoteText"/>
        <w:jc w:val="both"/>
      </w:pPr>
      <w:r w:rsidRPr="006207BE">
        <w:rPr>
          <w:rStyle w:val="FootnoteReference"/>
        </w:rPr>
        <w:footnoteRef/>
      </w:r>
      <w:r w:rsidRPr="006207BE">
        <w:t xml:space="preserve"> «</w:t>
      </w:r>
      <w:r w:rsidRPr="006207BE">
        <w:rPr>
          <w:rFonts w:cs="Times New Roman"/>
        </w:rPr>
        <w:t>Στα δικαστήρια, η χρήση της πληροφορικής ήρθε σταδιακά. Αν και η χρήση της τεχνολογίας για την επεξεργασία και την ολοκλήρωση διαδικαστικών πράξεων επιτράπηκε, ήδη, από το 1996, με την τροποποίηση του Κώδικα Πολιτικής Δικονομίας (Ν. 180/96 της 25</w:t>
      </w:r>
      <w:r w:rsidRPr="006207BE">
        <w:rPr>
          <w:rFonts w:cs="Times New Roman"/>
          <w:vertAlign w:val="superscript"/>
        </w:rPr>
        <w:t>ης</w:t>
      </w:r>
      <w:r w:rsidRPr="006207BE">
        <w:rPr>
          <w:rFonts w:cs="Times New Roman"/>
        </w:rPr>
        <w:t xml:space="preserve"> Σεπτεμβρίου), οι πρώτες χρήσης της έγιναν εμφανείς από το 1999. Στο εσωτερικό των δικαστηρίων ένα σύστημα πληροφορικής, ονόματι GPCvel (Gestão Processual Cível), σχεδιασμένο να διευκολύνει το έργο του δικαστικού γραμματέα, αναπτύχθηκε από μια μικρή ομάδα δικαστικών υπαλλήλων. Το 2000, οι δικηγόροι, υποχρεωτικά, κατέθεταν αγωγές, υπομνήματα κλπ μέσω πιστοποιημένης διεύθυνσης ηλεκτρονικού ταχυδρομείου σε ψηφιακή μορφή. Τρία χρόνια αργότερα, η υποχρέωση αυτή καταργήθηκε και έγινε προαιρετική, αλλά δόθηκαν οικονομικά κίνητρα για την χρήση της πληροφορικής, μέσω μείωσης των δικαστικών τελών. Το 2004, ένα νέο διάταγμα ήρθε για να ρυθμίσει, εκ νέου, τους όρους ηλεκτρονικής κατάθεσης εγγράφων μέσω ηλεκτρονικού ταχυδρομείου. Καθώς το καθεστώς εξελίσσονταν, δημιουργήθηκε το H@bilus, ένα σύστημα ανταλλαγής πληροφοριών τόσο στα αστικά όσο και στα ποινικά δικαστήρια. Με το H@bilus, οι γραμματείς των δικαστηρίων μπόρεσαν να προβούν σε εγγραφές απευθείας στην πλατφόρμα. Η ίδια ομάδα που δημιούργησε και ανέπτυξε το H@bilus, συμμετείχε τότε στην ανάπτυξη του CITIUS - το σύστημα πληροφοριών που επέτρεψε την πρόοδο της διαδικασίας αποϋλοποίησης στη δικαστήρια – που ανακοινώθηκε το 2007.  Το ιδίο έτος, το διάταγμα 593/2007, της 14ης Μαΐου, εισήγαγε την πλατφόρμα CITIUS, ενώ, ήδη, από το 2006 είχε τροποποιηθεί, αντίστοιχα, ο ΠορτΚΠολΔ. Η ρύθμιση της ηλεκτρονικής διαδικασίας στα πρωτοβάθμια δικαστήρια ολοκληρώθηκε το 2008, με το διάταγμα 114/2008 της 6</w:t>
      </w:r>
      <w:r w:rsidRPr="006207BE">
        <w:rPr>
          <w:rFonts w:cs="Times New Roman"/>
          <w:vertAlign w:val="superscript"/>
        </w:rPr>
        <w:t>ης</w:t>
      </w:r>
      <w:r w:rsidRPr="006207BE">
        <w:rPr>
          <w:rFonts w:cs="Times New Roman"/>
        </w:rPr>
        <w:t xml:space="preserve"> Φεβρουαρίου, όπως τροποποιήθηκε, έκτοτε, και ισχύει. Η ηλεκτρονική διαδικασία ήταν εφαρμοστέα μόνο στον τομέα του αστικού Δικαίου, ενώ, το 2013, τροποποιήθηκε, εκ νέου, η διαδικασία. Το 2014, κατά την εφαρμογή μεταρρύθμισης του Δικαστικού Χάρτη της Πορτογαλίας, το CITIUS κατέρρευσε και οδήγησε σε παράλυση των δικαστηρίων της χώρας για περίπου ενάμιση μήνα, ενώ, για περισσότερο από ένα χρόνο, δεν ήταν διαθέσιμο. Κατά τα επόμενα χρόνια, κύριο μέλημα ήταν η σταθερότητα του συστήματος και η αντιμετώπιση των τεχνικών του αδυναμιών. Το 2017, η πλατφόρμα επεκτάθηκε σε ποινικές διαδικασίες, ενώ, προστέθηκαν νέες λειτουργίες» </w:t>
      </w:r>
      <w:r w:rsidRPr="006207BE">
        <w:rPr>
          <w:rFonts w:cs="Times New Roman"/>
          <w:lang w:val="en-US"/>
        </w:rPr>
        <w:t>Fernando</w:t>
      </w:r>
      <w:r w:rsidRPr="006207BE">
        <w:rPr>
          <w:rFonts w:cs="Times New Roman"/>
        </w:rPr>
        <w:t xml:space="preserve">, </w:t>
      </w:r>
      <w:r w:rsidRPr="006207BE">
        <w:rPr>
          <w:rFonts w:cs="Times New Roman"/>
          <w:lang w:val="en-US"/>
        </w:rPr>
        <w:t>P</w:t>
      </w:r>
      <w:r w:rsidRPr="006207BE">
        <w:rPr>
          <w:rFonts w:cs="Times New Roman"/>
        </w:rPr>
        <w:t>., ό.π., σ. 13.</w:t>
      </w:r>
    </w:p>
  </w:footnote>
  <w:footnote w:id="139">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iCs/>
        </w:rPr>
        <w:t>http: //citius.tribunaisnet.mj.pt, με ημ. προσβ. 19.8.2019</w:t>
      </w:r>
      <w:r w:rsidRPr="006207BE">
        <w:t xml:space="preserve"> .</w:t>
      </w:r>
    </w:p>
  </w:footnote>
  <w:footnote w:id="140">
    <w:p w:rsidR="00346644" w:rsidRPr="006207BE" w:rsidRDefault="00346644" w:rsidP="00931119">
      <w:pPr>
        <w:pStyle w:val="FootnoteText"/>
        <w:jc w:val="both"/>
      </w:pPr>
      <w:r w:rsidRPr="006207BE">
        <w:rPr>
          <w:rStyle w:val="FootnoteReference"/>
        </w:rPr>
        <w:footnoteRef/>
      </w:r>
      <w:r w:rsidRPr="006207BE">
        <w:t xml:space="preserve"> </w:t>
      </w:r>
      <w:r w:rsidRPr="006207BE">
        <w:rPr>
          <w:rFonts w:cs="Times New Roman"/>
        </w:rPr>
        <w:t>για υποθέσεις έως το ποσό των 5.000,00 ευρώ επιτρέπονται  τρείς «έγγραφες μαρτυρίες» για κάθε διάδικο και έως πέντε για υποθέσεις αξίας έως 15.000,00 ευρώ</w:t>
      </w:r>
      <w:r w:rsidRPr="006207BE">
        <w:t xml:space="preserve"> .</w:t>
      </w:r>
    </w:p>
  </w:footnote>
  <w:footnote w:id="141">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iCs/>
        </w:rPr>
        <w:t>μεγέθους έως 3 ΜΒ</w:t>
      </w:r>
      <w:r w:rsidRPr="006207BE">
        <w:t xml:space="preserve"> .</w:t>
      </w:r>
    </w:p>
  </w:footnote>
  <w:footnote w:id="142">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lang w:val="en-US"/>
        </w:rPr>
        <w:t>Contini</w:t>
      </w:r>
      <w:r w:rsidRPr="006207BE">
        <w:rPr>
          <w:rFonts w:cs="Times New Roman"/>
        </w:rPr>
        <w:t xml:space="preserve"> </w:t>
      </w:r>
      <w:r w:rsidRPr="006207BE">
        <w:rPr>
          <w:rFonts w:cs="Times New Roman"/>
          <w:lang w:val="en-US"/>
        </w:rPr>
        <w:t>F</w:t>
      </w:r>
      <w:r w:rsidRPr="006207BE">
        <w:rPr>
          <w:rFonts w:cs="Times New Roman"/>
        </w:rPr>
        <w:t xml:space="preserve">., </w:t>
      </w:r>
      <w:r w:rsidRPr="006207BE">
        <w:rPr>
          <w:rFonts w:cs="Times New Roman"/>
          <w:lang w:val="en-US"/>
        </w:rPr>
        <w:t>Lanzara</w:t>
      </w:r>
      <w:r w:rsidRPr="006207BE">
        <w:rPr>
          <w:rFonts w:cs="Times New Roman"/>
        </w:rPr>
        <w:t xml:space="preserve"> </w:t>
      </w:r>
      <w:r w:rsidRPr="006207BE">
        <w:rPr>
          <w:rFonts w:cs="Times New Roman"/>
          <w:lang w:val="en-US"/>
        </w:rPr>
        <w:t>G</w:t>
      </w:r>
      <w:r w:rsidRPr="006207BE">
        <w:rPr>
          <w:rFonts w:cs="Times New Roman"/>
        </w:rPr>
        <w:t>.</w:t>
      </w:r>
      <w:r w:rsidRPr="006207BE">
        <w:rPr>
          <w:rFonts w:cs="Times New Roman"/>
          <w:lang w:val="en-US"/>
        </w:rPr>
        <w:t>F</w:t>
      </w:r>
      <w:r w:rsidRPr="006207BE">
        <w:rPr>
          <w:rFonts w:cs="Times New Roman"/>
        </w:rPr>
        <w:t>.,ό.π., σ. 247.</w:t>
      </w:r>
    </w:p>
  </w:footnote>
  <w:footnote w:id="143">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είτε «ανεβάζει» στην πλατφόρμα δική του</w:t>
      </w:r>
      <w:r w:rsidRPr="006207BE">
        <w:t xml:space="preserve"> .</w:t>
      </w:r>
    </w:p>
  </w:footnote>
  <w:footnote w:id="144">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αποδεικτικά έγγραφα της οφειλής, έως το σημείο αυτό δεν υποβάλλονται.</w:t>
      </w:r>
      <w:r w:rsidRPr="006207BE">
        <w:t xml:space="preserve"> </w:t>
      </w:r>
    </w:p>
  </w:footnote>
  <w:footnote w:id="145">
    <w:p w:rsidR="00346644" w:rsidRPr="006207BE" w:rsidRDefault="00346644" w:rsidP="00931119">
      <w:pPr>
        <w:pStyle w:val="FootnoteText"/>
      </w:pPr>
      <w:r w:rsidRPr="006207BE">
        <w:rPr>
          <w:rStyle w:val="FootnoteReference"/>
        </w:rPr>
        <w:footnoteRef/>
      </w:r>
      <w:r w:rsidRPr="006207BE">
        <w:t xml:space="preserve"> </w:t>
      </w:r>
      <w:r w:rsidRPr="006207BE">
        <w:rPr>
          <w:rFonts w:cs="Times New Roman"/>
        </w:rPr>
        <w:t xml:space="preserve">είναι το μόνο μέρος της διαδικασίας που δε διεξάγεται ηλεκτρονικά. </w:t>
      </w:r>
    </w:p>
  </w:footnote>
  <w:footnote w:id="146">
    <w:p w:rsidR="00346644" w:rsidRPr="006207BE" w:rsidRDefault="00346644" w:rsidP="00931119">
      <w:pPr>
        <w:pStyle w:val="FootnoteText"/>
        <w:rPr>
          <w:lang w:val="en-US"/>
        </w:rPr>
      </w:pPr>
      <w:r w:rsidRPr="006207BE">
        <w:rPr>
          <w:rStyle w:val="FootnoteReference"/>
        </w:rPr>
        <w:footnoteRef/>
      </w:r>
      <w:r w:rsidRPr="006207BE">
        <w:rPr>
          <w:lang w:val="en-US"/>
        </w:rPr>
        <w:t xml:space="preserve"> </w:t>
      </w:r>
      <w:r w:rsidRPr="006207BE">
        <w:rPr>
          <w:rFonts w:cs="Times New Roman"/>
          <w:lang w:val="en-US"/>
        </w:rPr>
        <w:t>Contini F., Lanzara G.F.,</w:t>
      </w:r>
      <w:r w:rsidRPr="006207BE">
        <w:rPr>
          <w:rFonts w:cs="Times New Roman"/>
        </w:rPr>
        <w:t>ό</w:t>
      </w:r>
      <w:r w:rsidRPr="006207BE">
        <w:rPr>
          <w:rFonts w:cs="Times New Roman"/>
          <w:lang w:val="en-US"/>
        </w:rPr>
        <w:t>.</w:t>
      </w:r>
      <w:r w:rsidRPr="006207BE">
        <w:rPr>
          <w:rFonts w:cs="Times New Roman"/>
        </w:rPr>
        <w:t>π</w:t>
      </w:r>
      <w:r w:rsidRPr="006207BE">
        <w:rPr>
          <w:rFonts w:cs="Times New Roman"/>
          <w:lang w:val="en-US"/>
        </w:rPr>
        <w:t xml:space="preserve">., </w:t>
      </w:r>
      <w:r w:rsidRPr="006207BE">
        <w:rPr>
          <w:rFonts w:cs="Times New Roman"/>
        </w:rPr>
        <w:t>σ</w:t>
      </w:r>
      <w:r w:rsidRPr="006207BE">
        <w:rPr>
          <w:rFonts w:cs="Times New Roman"/>
          <w:lang w:val="en-US"/>
        </w:rPr>
        <w:t xml:space="preserve">.252. </w:t>
      </w:r>
    </w:p>
  </w:footnote>
  <w:footnote w:id="147">
    <w:p w:rsidR="00346644" w:rsidRPr="006207BE" w:rsidRDefault="00346644" w:rsidP="007E4581">
      <w:pPr>
        <w:pStyle w:val="FootnoteText"/>
      </w:pPr>
      <w:r w:rsidRPr="006207BE">
        <w:rPr>
          <w:rStyle w:val="FootnoteReference"/>
        </w:rPr>
        <w:footnoteRef/>
      </w:r>
      <w:r w:rsidRPr="006207BE">
        <w:t xml:space="preserve"> </w:t>
      </w:r>
      <w:r w:rsidRPr="006207BE">
        <w:rPr>
          <w:rFonts w:cs="Times New Roman"/>
          <w:iCs/>
        </w:rPr>
        <w:t>Πράσινο Βιβλίο, ό.π., σ. 57.</w:t>
      </w:r>
    </w:p>
  </w:footnote>
  <w:footnote w:id="148">
    <w:p w:rsidR="00346644" w:rsidRPr="006207BE" w:rsidRDefault="00346644" w:rsidP="00AE565E">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iCs/>
        </w:rPr>
        <w:t xml:space="preserve">στην Φινλανδία δεν υφίσταται, πλέον, διαδικασία για την έκδοση διαταγής πληρωμής,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xml:space="preserve"> σε </w:t>
      </w:r>
      <w:r w:rsidRPr="006207BE">
        <w:rPr>
          <w:rFonts w:cs="Times New Roman"/>
          <w:iCs/>
          <w:lang w:val="en-US"/>
        </w:rPr>
        <w:t>V</w:t>
      </w:r>
      <w:r w:rsidRPr="006207BE">
        <w:rPr>
          <w:rFonts w:cs="Times New Roman"/>
          <w:iCs/>
        </w:rPr>
        <w:t>.</w:t>
      </w:r>
      <w:r w:rsidRPr="006207BE">
        <w:rPr>
          <w:rFonts w:cs="Times New Roman"/>
          <w:iCs/>
          <w:lang w:val="en-US"/>
        </w:rPr>
        <w:t>V</w:t>
      </w:r>
      <w:r w:rsidRPr="006207BE">
        <w:rPr>
          <w:rFonts w:cs="Times New Roman"/>
          <w:iCs/>
        </w:rPr>
        <w:t xml:space="preserve">. </w:t>
      </w:r>
      <w:r w:rsidRPr="006207BE">
        <w:rPr>
          <w:rFonts w:cs="Times New Roman"/>
          <w:iCs/>
          <w:lang w:val="en-US"/>
        </w:rPr>
        <w:t>Argunov</w:t>
      </w:r>
      <w:r w:rsidRPr="006207BE">
        <w:rPr>
          <w:rFonts w:cs="Times New Roman"/>
          <w:iCs/>
        </w:rPr>
        <w:t xml:space="preserve">, </w:t>
      </w:r>
      <w:r w:rsidRPr="006207BE">
        <w:rPr>
          <w:rFonts w:cs="Times New Roman"/>
          <w:iCs/>
          <w:lang w:val="en-US"/>
        </w:rPr>
        <w:t>Voluntary</w:t>
      </w:r>
      <w:r w:rsidRPr="006207BE">
        <w:rPr>
          <w:rFonts w:cs="Times New Roman"/>
          <w:iCs/>
        </w:rPr>
        <w:t xml:space="preserve"> (</w:t>
      </w:r>
      <w:r w:rsidRPr="006207BE">
        <w:rPr>
          <w:rFonts w:cs="Times New Roman"/>
          <w:iCs/>
          <w:lang w:val="en-US"/>
        </w:rPr>
        <w:t>Non</w:t>
      </w:r>
      <w:r w:rsidRPr="006207BE">
        <w:rPr>
          <w:rFonts w:cs="Times New Roman"/>
          <w:iCs/>
        </w:rPr>
        <w:t xml:space="preserve"> – </w:t>
      </w:r>
      <w:r w:rsidRPr="006207BE">
        <w:rPr>
          <w:rFonts w:cs="Times New Roman"/>
          <w:iCs/>
          <w:lang w:val="en-US"/>
        </w:rPr>
        <w:t>Contentious</w:t>
      </w:r>
      <w:r w:rsidRPr="006207BE">
        <w:rPr>
          <w:rFonts w:cs="Times New Roman"/>
          <w:iCs/>
        </w:rPr>
        <w:t xml:space="preserve">) </w:t>
      </w:r>
      <w:r w:rsidRPr="006207BE">
        <w:rPr>
          <w:rFonts w:cs="Times New Roman"/>
          <w:iCs/>
          <w:lang w:val="en-US"/>
        </w:rPr>
        <w:t>Jurisdiction</w:t>
      </w:r>
      <w:r w:rsidRPr="006207BE">
        <w:rPr>
          <w:rFonts w:cs="Times New Roman"/>
          <w:iCs/>
        </w:rPr>
        <w:t xml:space="preserve"> </w:t>
      </w:r>
      <w:r w:rsidRPr="006207BE">
        <w:rPr>
          <w:rFonts w:cs="Times New Roman"/>
          <w:iCs/>
          <w:lang w:val="en-US"/>
        </w:rPr>
        <w:t>around</w:t>
      </w:r>
      <w:r w:rsidRPr="006207BE">
        <w:rPr>
          <w:rFonts w:cs="Times New Roman"/>
          <w:iCs/>
        </w:rPr>
        <w:t xml:space="preserve"> </w:t>
      </w:r>
      <w:r w:rsidRPr="006207BE">
        <w:rPr>
          <w:rFonts w:cs="Times New Roman"/>
          <w:iCs/>
          <w:lang w:val="en-US"/>
        </w:rPr>
        <w:t>the</w:t>
      </w:r>
      <w:r w:rsidRPr="006207BE">
        <w:rPr>
          <w:rFonts w:cs="Times New Roman"/>
          <w:iCs/>
        </w:rPr>
        <w:t xml:space="preserve"> </w:t>
      </w:r>
      <w:r w:rsidRPr="006207BE">
        <w:rPr>
          <w:rFonts w:cs="Times New Roman"/>
          <w:iCs/>
          <w:lang w:val="en-US"/>
        </w:rPr>
        <w:t>World</w:t>
      </w:r>
      <w:r w:rsidRPr="006207BE">
        <w:rPr>
          <w:rFonts w:cs="Times New Roman"/>
          <w:iCs/>
        </w:rPr>
        <w:t xml:space="preserve">, </w:t>
      </w:r>
      <w:r w:rsidRPr="006207BE">
        <w:rPr>
          <w:rFonts w:cs="Times New Roman"/>
          <w:iCs/>
          <w:lang w:val="en-US"/>
        </w:rPr>
        <w:t>Gorodets</w:t>
      </w:r>
      <w:r w:rsidRPr="006207BE">
        <w:rPr>
          <w:rFonts w:cs="Times New Roman"/>
          <w:iCs/>
        </w:rPr>
        <w:t>, 2017, σ. 187.</w:t>
      </w:r>
    </w:p>
  </w:footnote>
  <w:footnote w:id="149">
    <w:p w:rsidR="00346644" w:rsidRPr="006207BE" w:rsidRDefault="00346644" w:rsidP="00AE565E">
      <w:pPr>
        <w:pStyle w:val="FootnoteText"/>
        <w:jc w:val="both"/>
        <w:rPr>
          <w:rStyle w:val="FootnoteReference"/>
        </w:rPr>
      </w:pPr>
      <w:r w:rsidRPr="006207BE">
        <w:rPr>
          <w:rStyle w:val="FootnoteReference"/>
        </w:rPr>
        <w:footnoteRef/>
      </w:r>
      <w:r w:rsidRPr="006207BE">
        <w:rPr>
          <w:rFonts w:cs="Times New Roman"/>
          <w:iCs/>
        </w:rPr>
        <w:t xml:space="preserve"> «Κä</w:t>
      </w:r>
      <w:r w:rsidRPr="006207BE">
        <w:rPr>
          <w:rFonts w:cs="Times New Roman"/>
          <w:iCs/>
          <w:lang w:val="en-US"/>
        </w:rPr>
        <w:t>r</w:t>
      </w:r>
      <w:r w:rsidRPr="006207BE">
        <w:rPr>
          <w:rFonts w:cs="Times New Roman"/>
          <w:iCs/>
        </w:rPr>
        <w:t>ä</w:t>
      </w:r>
      <w:r w:rsidRPr="006207BE">
        <w:rPr>
          <w:rFonts w:cs="Times New Roman"/>
          <w:iCs/>
          <w:lang w:val="en-US"/>
        </w:rPr>
        <w:t>j</w:t>
      </w:r>
      <w:r w:rsidRPr="006207BE">
        <w:rPr>
          <w:rFonts w:cs="Times New Roman"/>
          <w:iCs/>
        </w:rPr>
        <w:t>ä</w:t>
      </w:r>
      <w:r w:rsidRPr="006207BE">
        <w:rPr>
          <w:rFonts w:cs="Times New Roman"/>
          <w:iCs/>
          <w:lang w:val="en-US"/>
        </w:rPr>
        <w:t>oikeus</w:t>
      </w:r>
      <w:r w:rsidRPr="006207BE">
        <w:rPr>
          <w:rFonts w:cs="Times New Roman"/>
          <w:iCs/>
        </w:rPr>
        <w:t>» που μεταφράζεται στην αγγλική «</w:t>
      </w:r>
      <w:r w:rsidRPr="006207BE">
        <w:rPr>
          <w:rFonts w:cs="Times New Roman"/>
          <w:iCs/>
          <w:lang w:val="en-US"/>
        </w:rPr>
        <w:t>District</w:t>
      </w:r>
      <w:r w:rsidRPr="006207BE">
        <w:rPr>
          <w:rFonts w:cs="Times New Roman"/>
          <w:iCs/>
        </w:rPr>
        <w:t xml:space="preserve"> </w:t>
      </w:r>
      <w:r w:rsidRPr="006207BE">
        <w:rPr>
          <w:rFonts w:cs="Times New Roman"/>
          <w:iCs/>
          <w:lang w:val="en-US"/>
        </w:rPr>
        <w:t>Court</w:t>
      </w:r>
      <w:r w:rsidRPr="006207BE">
        <w:rPr>
          <w:rFonts w:cs="Times New Roman"/>
          <w:iCs/>
        </w:rPr>
        <w:t xml:space="preserve">» από </w:t>
      </w:r>
      <w:r w:rsidRPr="006207BE">
        <w:rPr>
          <w:rFonts w:cs="Times New Roman"/>
          <w:iCs/>
          <w:lang w:val="en-US"/>
        </w:rPr>
        <w:t>Kaijus</w:t>
      </w:r>
      <w:r w:rsidRPr="006207BE">
        <w:rPr>
          <w:rFonts w:cs="Times New Roman"/>
          <w:iCs/>
        </w:rPr>
        <w:t xml:space="preserve"> </w:t>
      </w:r>
      <w:r w:rsidRPr="006207BE">
        <w:rPr>
          <w:rFonts w:cs="Times New Roman"/>
          <w:iCs/>
          <w:lang w:val="en-US"/>
        </w:rPr>
        <w:t>Ervasti</w:t>
      </w:r>
      <w:r w:rsidRPr="006207BE">
        <w:rPr>
          <w:rFonts w:cs="Times New Roman"/>
          <w:iCs/>
        </w:rPr>
        <w:t xml:space="preserve">, </w:t>
      </w:r>
      <w:r w:rsidRPr="006207BE">
        <w:rPr>
          <w:rFonts w:cs="Times New Roman"/>
          <w:iCs/>
          <w:lang w:val="en-US"/>
        </w:rPr>
        <w:t>Conflicts</w:t>
      </w:r>
      <w:r w:rsidRPr="006207BE">
        <w:rPr>
          <w:rFonts w:cs="Times New Roman"/>
          <w:iCs/>
        </w:rPr>
        <w:t xml:space="preserve"> </w:t>
      </w:r>
      <w:r w:rsidRPr="006207BE">
        <w:rPr>
          <w:rFonts w:cs="Times New Roman"/>
          <w:iCs/>
          <w:lang w:val="en-US"/>
        </w:rPr>
        <w:t>Before</w:t>
      </w:r>
      <w:r w:rsidRPr="006207BE">
        <w:rPr>
          <w:rFonts w:cs="Times New Roman"/>
          <w:iCs/>
        </w:rPr>
        <w:t xml:space="preserve"> </w:t>
      </w:r>
      <w:r w:rsidRPr="006207BE">
        <w:rPr>
          <w:rFonts w:cs="Times New Roman"/>
          <w:iCs/>
          <w:lang w:val="en-US"/>
        </w:rPr>
        <w:t>the</w:t>
      </w:r>
      <w:r w:rsidRPr="006207BE">
        <w:rPr>
          <w:rFonts w:cs="Times New Roman"/>
          <w:iCs/>
        </w:rPr>
        <w:t xml:space="preserve"> </w:t>
      </w:r>
      <w:r w:rsidRPr="006207BE">
        <w:rPr>
          <w:rFonts w:cs="Times New Roman"/>
          <w:iCs/>
          <w:lang w:val="en-US"/>
        </w:rPr>
        <w:t>Courts</w:t>
      </w:r>
      <w:r w:rsidRPr="006207BE">
        <w:rPr>
          <w:rFonts w:cs="Times New Roman"/>
          <w:iCs/>
        </w:rPr>
        <w:t xml:space="preserve"> </w:t>
      </w:r>
      <w:r w:rsidRPr="006207BE">
        <w:rPr>
          <w:rFonts w:cs="Times New Roman"/>
          <w:iCs/>
          <w:lang w:val="en-US"/>
        </w:rPr>
        <w:t>and</w:t>
      </w:r>
      <w:r w:rsidRPr="006207BE">
        <w:rPr>
          <w:rFonts w:cs="Times New Roman"/>
          <w:iCs/>
        </w:rPr>
        <w:t xml:space="preserve"> </w:t>
      </w:r>
      <w:r w:rsidRPr="006207BE">
        <w:rPr>
          <w:rFonts w:cs="Times New Roman"/>
          <w:iCs/>
          <w:lang w:val="en-US"/>
        </w:rPr>
        <w:t>Courtannexed</w:t>
      </w:r>
      <w:r w:rsidRPr="006207BE">
        <w:rPr>
          <w:rFonts w:cs="Times New Roman"/>
          <w:iCs/>
        </w:rPr>
        <w:t xml:space="preserve"> </w:t>
      </w:r>
      <w:r w:rsidRPr="006207BE">
        <w:rPr>
          <w:rFonts w:cs="Times New Roman"/>
          <w:iCs/>
          <w:lang w:val="en-US"/>
        </w:rPr>
        <w:t>Mediation</w:t>
      </w:r>
      <w:r w:rsidRPr="006207BE">
        <w:rPr>
          <w:rFonts w:cs="Times New Roman"/>
          <w:iCs/>
        </w:rPr>
        <w:t xml:space="preserve"> </w:t>
      </w:r>
      <w:r w:rsidRPr="006207BE">
        <w:rPr>
          <w:rFonts w:cs="Times New Roman"/>
          <w:iCs/>
          <w:lang w:val="en-US"/>
        </w:rPr>
        <w:t>in</w:t>
      </w:r>
      <w:r w:rsidRPr="006207BE">
        <w:rPr>
          <w:rFonts w:cs="Times New Roman"/>
          <w:iCs/>
        </w:rPr>
        <w:t xml:space="preserve"> </w:t>
      </w:r>
      <w:r w:rsidRPr="006207BE">
        <w:rPr>
          <w:rFonts w:cs="Times New Roman"/>
          <w:iCs/>
          <w:lang w:val="en-US"/>
        </w:rPr>
        <w:t>Finland</w:t>
      </w:r>
      <w:r w:rsidRPr="006207BE">
        <w:rPr>
          <w:rFonts w:cs="Times New Roman"/>
          <w:iCs/>
        </w:rPr>
        <w:t xml:space="preserve">, </w:t>
      </w:r>
      <w:r w:rsidRPr="006207BE">
        <w:rPr>
          <w:rFonts w:cs="Times New Roman"/>
          <w:iCs/>
          <w:lang w:val="en-US"/>
        </w:rPr>
        <w:t>Scandinavian</w:t>
      </w:r>
      <w:r w:rsidRPr="006207BE">
        <w:rPr>
          <w:rFonts w:cs="Times New Roman"/>
          <w:iCs/>
        </w:rPr>
        <w:t xml:space="preserve"> </w:t>
      </w:r>
      <w:r w:rsidRPr="006207BE">
        <w:rPr>
          <w:rFonts w:cs="Times New Roman"/>
          <w:iCs/>
          <w:lang w:val="en-US"/>
        </w:rPr>
        <w:t>Studies</w:t>
      </w:r>
      <w:r w:rsidRPr="006207BE">
        <w:rPr>
          <w:rFonts w:cs="Times New Roman"/>
          <w:iCs/>
        </w:rPr>
        <w:t xml:space="preserve"> </w:t>
      </w:r>
      <w:r w:rsidRPr="006207BE">
        <w:rPr>
          <w:rFonts w:cs="Times New Roman"/>
          <w:iCs/>
          <w:lang w:val="en-US"/>
        </w:rPr>
        <w:t>In</w:t>
      </w:r>
      <w:r w:rsidRPr="006207BE">
        <w:rPr>
          <w:rFonts w:cs="Times New Roman"/>
          <w:iCs/>
        </w:rPr>
        <w:t xml:space="preserve"> </w:t>
      </w:r>
      <w:r w:rsidRPr="006207BE">
        <w:rPr>
          <w:rFonts w:cs="Times New Roman"/>
          <w:iCs/>
          <w:lang w:val="en-US"/>
        </w:rPr>
        <w:t>Law</w:t>
      </w:r>
      <w:r w:rsidRPr="006207BE">
        <w:rPr>
          <w:rFonts w:cs="Times New Roman"/>
          <w:iCs/>
        </w:rPr>
        <w:t xml:space="preserve">, 1999-2012, σ. 187 και «Πρωτοδικείο, περιφερειακό δικαστήριο» στην Ελληνική Στάμελος, Χατζημανώλη, Μπαλογιάννη, Λεξικό Νομικών Όρων, Νομική Βιβλιοθήκη, 3η έκδοση, 2015. Το Πρωτοδικείο στην Φινλανδία έχει γενική αρμοδιότητα για τις αστικές υποθέσεις σε πρώτο βαθμό, </w:t>
      </w:r>
      <w:r w:rsidRPr="006207BE">
        <w:rPr>
          <w:rFonts w:cs="Times New Roman"/>
          <w:iCs/>
          <w:lang w:val="en-US"/>
        </w:rPr>
        <w:t>Kaijus</w:t>
      </w:r>
      <w:r w:rsidRPr="006207BE">
        <w:rPr>
          <w:rFonts w:cs="Times New Roman"/>
          <w:iCs/>
        </w:rPr>
        <w:t xml:space="preserve"> </w:t>
      </w:r>
      <w:r w:rsidRPr="006207BE">
        <w:rPr>
          <w:rFonts w:cs="Times New Roman"/>
          <w:iCs/>
          <w:lang w:val="en-US"/>
        </w:rPr>
        <w:t>Ervasti</w:t>
      </w:r>
      <w:r w:rsidRPr="006207BE">
        <w:rPr>
          <w:rFonts w:cs="Times New Roman"/>
          <w:iCs/>
        </w:rPr>
        <w:t>, ό.π..</w:t>
      </w:r>
    </w:p>
  </w:footnote>
  <w:footnote w:id="150">
    <w:p w:rsidR="00346644" w:rsidRPr="006207BE" w:rsidRDefault="00346644" w:rsidP="00AE565E">
      <w:pPr>
        <w:pStyle w:val="FootnoteText"/>
        <w:jc w:val="both"/>
        <w:rPr>
          <w:rStyle w:val="FootnoteReference"/>
        </w:rPr>
      </w:pPr>
      <w:r w:rsidRPr="006207BE">
        <w:rPr>
          <w:rStyle w:val="FootnoteReference"/>
        </w:rPr>
        <w:footnoteRef/>
      </w:r>
      <w:r w:rsidRPr="006207BE">
        <w:rPr>
          <w:rFonts w:cs="Times New Roman"/>
          <w:iCs/>
        </w:rPr>
        <w:t xml:space="preserve"> «Η</w:t>
      </w:r>
      <w:r w:rsidRPr="006207BE">
        <w:rPr>
          <w:rFonts w:cs="Times New Roman"/>
          <w:iCs/>
          <w:lang w:val="en-US"/>
        </w:rPr>
        <w:t>akemuslainkaytto</w:t>
      </w:r>
      <w:r w:rsidRPr="006207BE">
        <w:rPr>
          <w:rFonts w:cs="Times New Roman"/>
          <w:iCs/>
        </w:rPr>
        <w:t>», που μεταφράζεται στην αγγλική «</w:t>
      </w:r>
      <w:r w:rsidRPr="006207BE">
        <w:rPr>
          <w:rFonts w:cs="Times New Roman"/>
          <w:iCs/>
          <w:lang w:val="en-US"/>
        </w:rPr>
        <w:t>non</w:t>
      </w:r>
      <w:r w:rsidRPr="006207BE">
        <w:rPr>
          <w:rFonts w:cs="Times New Roman"/>
          <w:iCs/>
        </w:rPr>
        <w:t xml:space="preserve"> – </w:t>
      </w:r>
      <w:r w:rsidRPr="006207BE">
        <w:rPr>
          <w:rFonts w:cs="Times New Roman"/>
          <w:iCs/>
          <w:lang w:val="en-US"/>
        </w:rPr>
        <w:t>contentious</w:t>
      </w:r>
      <w:r w:rsidRPr="006207BE">
        <w:rPr>
          <w:rFonts w:cs="Times New Roman"/>
          <w:iCs/>
        </w:rPr>
        <w:t xml:space="preserve"> </w:t>
      </w:r>
      <w:r w:rsidRPr="006207BE">
        <w:rPr>
          <w:rFonts w:cs="Times New Roman"/>
          <w:iCs/>
          <w:lang w:val="en-US"/>
        </w:rPr>
        <w:t>jurisdiction</w:t>
      </w:r>
      <w:r w:rsidRPr="006207BE">
        <w:rPr>
          <w:rFonts w:cs="Times New Roman"/>
          <w:iCs/>
        </w:rPr>
        <w:t xml:space="preserve">» από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xml:space="preserve">, ό.π., σ. 169 και «εκούσια δικαιοδοσία» στην Ελληνική Στάμελος, Χατζημανώλη, Μπαλογιάννη, Λεξικό Νομικών Όρων, Νομική Βιβλιοθήκη, 3η έκδοση, 2015. Η εκούσια δικαιοδοσία στην Φινλανδία έχει ευρύ αντικείμενο, εμπίπτουν, δε, όλες οι μη αμφισβητούμενες αστικές αξιώσεις, ανεξαρτήτως αιτίας, όπως, λ.χ. μισθώσεις, ζητήματα οικογενειακού ΔΙκαίου κ.ο.κ.,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xml:space="preserve">, ό.π., σ. 176. </w:t>
      </w:r>
    </w:p>
  </w:footnote>
  <w:footnote w:id="151">
    <w:p w:rsidR="00346644" w:rsidRPr="006207BE" w:rsidRDefault="00346644" w:rsidP="00AE565E">
      <w:pPr>
        <w:pStyle w:val="FootnoteText"/>
        <w:jc w:val="both"/>
        <w:rPr>
          <w:rStyle w:val="FootnoteReference"/>
        </w:rPr>
      </w:pPr>
      <w:r w:rsidRPr="006207BE">
        <w:rPr>
          <w:rStyle w:val="FootnoteReference"/>
        </w:rPr>
        <w:footnoteRef/>
      </w:r>
      <w:r w:rsidRPr="006207BE">
        <w:rPr>
          <w:rStyle w:val="FootnoteReference"/>
        </w:rPr>
        <w:t xml:space="preserve"> </w:t>
      </w:r>
      <w:r w:rsidRPr="006207BE">
        <w:t>«</w:t>
      </w:r>
      <w:r w:rsidRPr="006207BE">
        <w:rPr>
          <w:rFonts w:cs="Times New Roman"/>
          <w:iCs/>
          <w:lang w:val="en-US"/>
        </w:rPr>
        <w:t>Oikeudenk</w:t>
      </w:r>
      <w:r w:rsidRPr="006207BE">
        <w:rPr>
          <w:rFonts w:cs="Times New Roman"/>
          <w:iCs/>
        </w:rPr>
        <w:t>ä</w:t>
      </w:r>
      <w:r w:rsidRPr="006207BE">
        <w:rPr>
          <w:rFonts w:cs="Times New Roman"/>
          <w:iCs/>
          <w:lang w:val="en-US"/>
        </w:rPr>
        <w:t>ymiskaari</w:t>
      </w:r>
      <w:r w:rsidRPr="006207BE">
        <w:rPr>
          <w:rFonts w:cs="Times New Roman"/>
          <w:iCs/>
        </w:rPr>
        <w:t xml:space="preserve">», διαθ. στην Αγγλική εδώ:  </w:t>
      </w:r>
      <w:hyperlink r:id="rId29" w:history="1">
        <w:r w:rsidRPr="006207BE">
          <w:rPr>
            <w:rStyle w:val="Hyperlink"/>
            <w:rFonts w:cs="Times New Roman"/>
            <w:iCs/>
            <w:lang w:val="en-US"/>
          </w:rPr>
          <w:t>https</w:t>
        </w:r>
        <w:r w:rsidRPr="006207BE">
          <w:rPr>
            <w:rStyle w:val="Hyperlink"/>
            <w:rFonts w:cs="Times New Roman"/>
            <w:iCs/>
          </w:rPr>
          <w:t>://</w:t>
        </w:r>
        <w:r w:rsidRPr="006207BE">
          <w:rPr>
            <w:rStyle w:val="Hyperlink"/>
            <w:rFonts w:cs="Times New Roman"/>
            <w:iCs/>
            <w:lang w:val="en-US"/>
          </w:rPr>
          <w:t>www</w:t>
        </w:r>
        <w:r w:rsidRPr="006207BE">
          <w:rPr>
            <w:rStyle w:val="Hyperlink"/>
            <w:rFonts w:cs="Times New Roman"/>
            <w:iCs/>
          </w:rPr>
          <w:t>.</w:t>
        </w:r>
        <w:r w:rsidRPr="006207BE">
          <w:rPr>
            <w:rStyle w:val="Hyperlink"/>
            <w:rFonts w:cs="Times New Roman"/>
            <w:iCs/>
            <w:lang w:val="en-US"/>
          </w:rPr>
          <w:t>finlex</w:t>
        </w:r>
        <w:r w:rsidRPr="006207BE">
          <w:rPr>
            <w:rStyle w:val="Hyperlink"/>
            <w:rFonts w:cs="Times New Roman"/>
            <w:iCs/>
          </w:rPr>
          <w:t>.</w:t>
        </w:r>
        <w:r w:rsidRPr="006207BE">
          <w:rPr>
            <w:rStyle w:val="Hyperlink"/>
            <w:rFonts w:cs="Times New Roman"/>
            <w:iCs/>
            <w:lang w:val="en-US"/>
          </w:rPr>
          <w:t>fi</w:t>
        </w:r>
        <w:r w:rsidRPr="006207BE">
          <w:rPr>
            <w:rStyle w:val="Hyperlink"/>
            <w:rFonts w:cs="Times New Roman"/>
            <w:iCs/>
          </w:rPr>
          <w:t>/</w:t>
        </w:r>
        <w:r w:rsidRPr="006207BE">
          <w:rPr>
            <w:rStyle w:val="Hyperlink"/>
            <w:rFonts w:cs="Times New Roman"/>
            <w:iCs/>
            <w:lang w:val="en-US"/>
          </w:rPr>
          <w:t>en</w:t>
        </w:r>
        <w:r w:rsidRPr="006207BE">
          <w:rPr>
            <w:rStyle w:val="Hyperlink"/>
            <w:rFonts w:cs="Times New Roman"/>
            <w:iCs/>
          </w:rPr>
          <w:t>/</w:t>
        </w:r>
        <w:r w:rsidRPr="006207BE">
          <w:rPr>
            <w:rStyle w:val="Hyperlink"/>
            <w:rFonts w:cs="Times New Roman"/>
            <w:iCs/>
            <w:lang w:val="en-US"/>
          </w:rPr>
          <w:t>laki</w:t>
        </w:r>
        <w:r w:rsidRPr="006207BE">
          <w:rPr>
            <w:rStyle w:val="Hyperlink"/>
            <w:rFonts w:cs="Times New Roman"/>
            <w:iCs/>
          </w:rPr>
          <w:t>/</w:t>
        </w:r>
        <w:r w:rsidRPr="006207BE">
          <w:rPr>
            <w:rStyle w:val="Hyperlink"/>
            <w:rFonts w:cs="Times New Roman"/>
            <w:iCs/>
            <w:lang w:val="en-US"/>
          </w:rPr>
          <w:t>kaannokset</w:t>
        </w:r>
        <w:r w:rsidRPr="006207BE">
          <w:rPr>
            <w:rStyle w:val="Hyperlink"/>
            <w:rFonts w:cs="Times New Roman"/>
            <w:iCs/>
          </w:rPr>
          <w:t>/1734/</w:t>
        </w:r>
        <w:r w:rsidRPr="006207BE">
          <w:rPr>
            <w:rStyle w:val="Hyperlink"/>
            <w:rFonts w:cs="Times New Roman"/>
            <w:iCs/>
            <w:lang w:val="en-US"/>
          </w:rPr>
          <w:t>en</w:t>
        </w:r>
        <w:r w:rsidRPr="006207BE">
          <w:rPr>
            <w:rStyle w:val="Hyperlink"/>
            <w:rFonts w:cs="Times New Roman"/>
            <w:iCs/>
          </w:rPr>
          <w:t>17340004_20150732.</w:t>
        </w:r>
        <w:r w:rsidRPr="006207BE">
          <w:rPr>
            <w:rStyle w:val="Hyperlink"/>
            <w:rFonts w:cs="Times New Roman"/>
            <w:iCs/>
            <w:lang w:val="en-US"/>
          </w:rPr>
          <w:t>pdf</w:t>
        </w:r>
      </w:hyperlink>
      <w:r w:rsidRPr="006207BE">
        <w:rPr>
          <w:rFonts w:cs="Times New Roman"/>
          <w:iCs/>
        </w:rPr>
        <w:t>, με ημ. προσβ. 15.8.2019.</w:t>
      </w:r>
    </w:p>
  </w:footnote>
  <w:footnote w:id="152">
    <w:p w:rsidR="00346644" w:rsidRPr="006207BE" w:rsidRDefault="00346644" w:rsidP="00AE565E">
      <w:pPr>
        <w:pStyle w:val="FootnoteText"/>
        <w:jc w:val="both"/>
        <w:rPr>
          <w:rFonts w:cs="Times New Roman"/>
          <w:iCs/>
        </w:rPr>
      </w:pPr>
      <w:r w:rsidRPr="006207BE">
        <w:rPr>
          <w:rStyle w:val="FootnoteReference"/>
        </w:rPr>
        <w:footnoteRef/>
      </w:r>
      <w:r w:rsidRPr="006207BE">
        <w:rPr>
          <w:rFonts w:cs="Times New Roman"/>
          <w:iCs/>
        </w:rPr>
        <w:t xml:space="preserve">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xml:space="preserve">, ό.π., σ. 179. </w:t>
      </w:r>
    </w:p>
  </w:footnote>
  <w:footnote w:id="153">
    <w:p w:rsidR="00346644" w:rsidRPr="006207BE" w:rsidRDefault="00346644" w:rsidP="00AE565E">
      <w:pPr>
        <w:pStyle w:val="FootnoteText"/>
        <w:jc w:val="both"/>
        <w:rPr>
          <w:rFonts w:cs="Times New Roman"/>
          <w:iCs/>
        </w:rPr>
      </w:pPr>
      <w:r w:rsidRPr="006207BE">
        <w:rPr>
          <w:rStyle w:val="FootnoteReference"/>
        </w:rPr>
        <w:footnoteRef/>
      </w:r>
      <w:r w:rsidRPr="006207BE">
        <w:rPr>
          <w:rStyle w:val="FootnoteReference"/>
        </w:rPr>
        <w:t xml:space="preserve"> </w:t>
      </w:r>
      <w:r w:rsidRPr="006207BE">
        <w:rPr>
          <w:rFonts w:cs="Times New Roman"/>
          <w:iCs/>
        </w:rPr>
        <w:t xml:space="preserve">στις μη αμφισβητούμενες χρηματικές αξιώσεις  ο αιτών δεν χρειάζεται να υποβάλλει αποδεικτικά έγγραφα,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ό.π., σ. 180.</w:t>
      </w:r>
    </w:p>
  </w:footnote>
  <w:footnote w:id="154">
    <w:p w:rsidR="00346644" w:rsidRPr="006207BE" w:rsidRDefault="00346644" w:rsidP="00AE565E">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iCs/>
        </w:rPr>
        <w:t>που ορίζεται από το Δικαστήριο και, συνήθως, είναι δύο με τρείς εβδομάδες.</w:t>
      </w:r>
    </w:p>
  </w:footnote>
  <w:footnote w:id="155">
    <w:p w:rsidR="00346644" w:rsidRPr="006207BE" w:rsidRDefault="00346644" w:rsidP="00AE565E">
      <w:pPr>
        <w:pStyle w:val="FootnoteText"/>
        <w:jc w:val="both"/>
        <w:rPr>
          <w:rFonts w:cs="Times New Roman"/>
          <w:iCs/>
        </w:rPr>
      </w:pPr>
      <w:r w:rsidRPr="006207BE">
        <w:rPr>
          <w:rStyle w:val="FootnoteReference"/>
        </w:rPr>
        <w:footnoteRef/>
      </w:r>
      <w:r w:rsidRPr="006207BE">
        <w:rPr>
          <w:rStyle w:val="FootnoteReference"/>
        </w:rPr>
        <w:t xml:space="preserve"> </w:t>
      </w:r>
      <w:hyperlink r:id="rId30" w:history="1">
        <w:r w:rsidRPr="006207BE">
          <w:rPr>
            <w:rStyle w:val="Hyperlink"/>
            <w:rFonts w:cs="Times New Roman"/>
            <w:iCs/>
            <w:lang w:val="en-US"/>
          </w:rPr>
          <w:t>https</w:t>
        </w:r>
        <w:r w:rsidRPr="006207BE">
          <w:rPr>
            <w:rStyle w:val="Hyperlink"/>
            <w:rFonts w:cs="Times New Roman"/>
            <w:iCs/>
          </w:rPr>
          <w:t>://</w:t>
        </w:r>
        <w:r w:rsidRPr="006207BE">
          <w:rPr>
            <w:rStyle w:val="Hyperlink"/>
            <w:rFonts w:cs="Times New Roman"/>
            <w:iCs/>
            <w:lang w:val="en-US"/>
          </w:rPr>
          <w:t>e</w:t>
        </w:r>
        <w:r w:rsidRPr="006207BE">
          <w:rPr>
            <w:rStyle w:val="Hyperlink"/>
            <w:rFonts w:cs="Times New Roman"/>
            <w:iCs/>
          </w:rPr>
          <w:t>-</w:t>
        </w:r>
        <w:r w:rsidRPr="006207BE">
          <w:rPr>
            <w:rStyle w:val="Hyperlink"/>
            <w:rFonts w:cs="Times New Roman"/>
            <w:iCs/>
            <w:lang w:val="en-US"/>
          </w:rPr>
          <w:t>justice</w:t>
        </w:r>
        <w:r w:rsidRPr="006207BE">
          <w:rPr>
            <w:rStyle w:val="Hyperlink"/>
            <w:rFonts w:cs="Times New Roman"/>
            <w:iCs/>
          </w:rPr>
          <w:t>.</w:t>
        </w:r>
        <w:r w:rsidRPr="006207BE">
          <w:rPr>
            <w:rStyle w:val="Hyperlink"/>
            <w:rFonts w:cs="Times New Roman"/>
            <w:iCs/>
            <w:lang w:val="en-US"/>
          </w:rPr>
          <w:t>europa</w:t>
        </w:r>
        <w:r w:rsidRPr="006207BE">
          <w:rPr>
            <w:rStyle w:val="Hyperlink"/>
            <w:rFonts w:cs="Times New Roman"/>
            <w:iCs/>
          </w:rPr>
          <w:t>.</w:t>
        </w:r>
        <w:r w:rsidRPr="006207BE">
          <w:rPr>
            <w:rStyle w:val="Hyperlink"/>
            <w:rFonts w:cs="Times New Roman"/>
            <w:iCs/>
            <w:lang w:val="en-US"/>
          </w:rPr>
          <w:t>eu</w:t>
        </w:r>
        <w:r w:rsidRPr="006207BE">
          <w:rPr>
            <w:rStyle w:val="Hyperlink"/>
            <w:rFonts w:cs="Times New Roman"/>
            <w:iCs/>
          </w:rPr>
          <w:t>/</w:t>
        </w:r>
        <w:r w:rsidRPr="006207BE">
          <w:rPr>
            <w:rStyle w:val="Hyperlink"/>
            <w:rFonts w:cs="Times New Roman"/>
            <w:iCs/>
            <w:lang w:val="en-US"/>
          </w:rPr>
          <w:t>content</w:t>
        </w:r>
        <w:r w:rsidRPr="006207BE">
          <w:rPr>
            <w:rStyle w:val="Hyperlink"/>
            <w:rFonts w:cs="Times New Roman"/>
            <w:iCs/>
          </w:rPr>
          <w:t>_</w:t>
        </w:r>
        <w:r w:rsidRPr="006207BE">
          <w:rPr>
            <w:rStyle w:val="Hyperlink"/>
            <w:rFonts w:cs="Times New Roman"/>
            <w:iCs/>
            <w:lang w:val="en-US"/>
          </w:rPr>
          <w:t>order</w:t>
        </w:r>
        <w:r w:rsidRPr="006207BE">
          <w:rPr>
            <w:rStyle w:val="Hyperlink"/>
            <w:rFonts w:cs="Times New Roman"/>
            <w:iCs/>
          </w:rPr>
          <w:t>_</w:t>
        </w:r>
        <w:r w:rsidRPr="006207BE">
          <w:rPr>
            <w:rStyle w:val="Hyperlink"/>
            <w:rFonts w:cs="Times New Roman"/>
            <w:iCs/>
            <w:lang w:val="en-US"/>
          </w:rPr>
          <w:t>for</w:t>
        </w:r>
        <w:r w:rsidRPr="006207BE">
          <w:rPr>
            <w:rStyle w:val="Hyperlink"/>
            <w:rFonts w:cs="Times New Roman"/>
            <w:iCs/>
          </w:rPr>
          <w:t>_</w:t>
        </w:r>
        <w:r w:rsidRPr="006207BE">
          <w:rPr>
            <w:rStyle w:val="Hyperlink"/>
            <w:rFonts w:cs="Times New Roman"/>
            <w:iCs/>
            <w:lang w:val="en-US"/>
          </w:rPr>
          <w:t>payment</w:t>
        </w:r>
        <w:r w:rsidRPr="006207BE">
          <w:rPr>
            <w:rStyle w:val="Hyperlink"/>
            <w:rFonts w:cs="Times New Roman"/>
            <w:iCs/>
          </w:rPr>
          <w:t>_</w:t>
        </w:r>
        <w:r w:rsidRPr="006207BE">
          <w:rPr>
            <w:rStyle w:val="Hyperlink"/>
            <w:rFonts w:cs="Times New Roman"/>
            <w:iCs/>
            <w:lang w:val="en-US"/>
          </w:rPr>
          <w:t>procedures</w:t>
        </w:r>
        <w:r w:rsidRPr="006207BE">
          <w:rPr>
            <w:rStyle w:val="Hyperlink"/>
            <w:rFonts w:cs="Times New Roman"/>
            <w:iCs/>
          </w:rPr>
          <w:t>-41-</w:t>
        </w:r>
        <w:r w:rsidRPr="006207BE">
          <w:rPr>
            <w:rStyle w:val="Hyperlink"/>
            <w:rFonts w:cs="Times New Roman"/>
            <w:iCs/>
            <w:lang w:val="en-US"/>
          </w:rPr>
          <w:t>fi</w:t>
        </w:r>
        <w:r w:rsidRPr="006207BE">
          <w:rPr>
            <w:rStyle w:val="Hyperlink"/>
            <w:rFonts w:cs="Times New Roman"/>
            <w:iCs/>
          </w:rPr>
          <w:t>-</w:t>
        </w:r>
        <w:r w:rsidRPr="006207BE">
          <w:rPr>
            <w:rStyle w:val="Hyperlink"/>
            <w:rFonts w:cs="Times New Roman"/>
            <w:iCs/>
            <w:lang w:val="en-US"/>
          </w:rPr>
          <w:t>el</w:t>
        </w:r>
        <w:r w:rsidRPr="006207BE">
          <w:rPr>
            <w:rStyle w:val="Hyperlink"/>
            <w:rFonts w:cs="Times New Roman"/>
            <w:iCs/>
          </w:rPr>
          <w:t>.</w:t>
        </w:r>
        <w:r w:rsidRPr="006207BE">
          <w:rPr>
            <w:rStyle w:val="Hyperlink"/>
            <w:rFonts w:cs="Times New Roman"/>
            <w:iCs/>
            <w:lang w:val="en-US"/>
          </w:rPr>
          <w:t>do</w:t>
        </w:r>
        <w:r w:rsidRPr="006207BE">
          <w:rPr>
            <w:rStyle w:val="Hyperlink"/>
            <w:rFonts w:cs="Times New Roman"/>
            <w:iCs/>
          </w:rPr>
          <w:t>?</w:t>
        </w:r>
        <w:r w:rsidRPr="006207BE">
          <w:rPr>
            <w:rStyle w:val="Hyperlink"/>
            <w:rFonts w:cs="Times New Roman"/>
            <w:iCs/>
            <w:lang w:val="en-US"/>
          </w:rPr>
          <w:t>init</w:t>
        </w:r>
        <w:r w:rsidRPr="006207BE">
          <w:rPr>
            <w:rStyle w:val="Hyperlink"/>
            <w:rFonts w:cs="Times New Roman"/>
            <w:iCs/>
          </w:rPr>
          <w:t>=</w:t>
        </w:r>
        <w:r w:rsidRPr="006207BE">
          <w:rPr>
            <w:rStyle w:val="Hyperlink"/>
            <w:rFonts w:cs="Times New Roman"/>
            <w:iCs/>
            <w:lang w:val="en-US"/>
          </w:rPr>
          <w:t>true</w:t>
        </w:r>
        <w:r w:rsidRPr="006207BE">
          <w:rPr>
            <w:rStyle w:val="Hyperlink"/>
            <w:rFonts w:cs="Times New Roman"/>
            <w:iCs/>
          </w:rPr>
          <w:t>&amp;</w:t>
        </w:r>
        <w:r w:rsidRPr="006207BE">
          <w:rPr>
            <w:rStyle w:val="Hyperlink"/>
            <w:rFonts w:cs="Times New Roman"/>
            <w:iCs/>
            <w:lang w:val="en-US"/>
          </w:rPr>
          <w:t>member</w:t>
        </w:r>
        <w:r w:rsidRPr="006207BE">
          <w:rPr>
            <w:rStyle w:val="Hyperlink"/>
            <w:rFonts w:cs="Times New Roman"/>
            <w:iCs/>
          </w:rPr>
          <w:t>=1</w:t>
        </w:r>
      </w:hyperlink>
      <w:r w:rsidRPr="006207BE">
        <w:rPr>
          <w:rFonts w:cs="Times New Roman"/>
          <w:iCs/>
        </w:rPr>
        <w:t>, με ημ. προσβ. 16.8.2019 .</w:t>
      </w:r>
    </w:p>
  </w:footnote>
  <w:footnote w:id="156">
    <w:p w:rsidR="00346644" w:rsidRPr="006207BE" w:rsidRDefault="00346644" w:rsidP="00AE565E">
      <w:pPr>
        <w:pStyle w:val="FootnoteText"/>
        <w:rPr>
          <w:rFonts w:cs="Times New Roman"/>
          <w:iCs/>
        </w:rPr>
      </w:pPr>
      <w:r w:rsidRPr="006207BE">
        <w:rPr>
          <w:rStyle w:val="FootnoteReference"/>
        </w:rPr>
        <w:footnoteRef/>
      </w:r>
      <w:r w:rsidRPr="006207BE">
        <w:rPr>
          <w:rFonts w:cs="Times New Roman"/>
          <w:iCs/>
        </w:rPr>
        <w:t xml:space="preserve"> </w:t>
      </w:r>
      <w:r w:rsidRPr="006207BE">
        <w:rPr>
          <w:rFonts w:cs="Times New Roman"/>
          <w:iCs/>
          <w:lang w:val="en-US"/>
        </w:rPr>
        <w:t>Laura</w:t>
      </w:r>
      <w:r w:rsidRPr="006207BE">
        <w:rPr>
          <w:rFonts w:cs="Times New Roman"/>
          <w:iCs/>
        </w:rPr>
        <w:t xml:space="preserve"> </w:t>
      </w:r>
      <w:r w:rsidRPr="006207BE">
        <w:rPr>
          <w:rFonts w:cs="Times New Roman"/>
          <w:iCs/>
          <w:lang w:val="en-US"/>
        </w:rPr>
        <w:t>Evro</w:t>
      </w:r>
      <w:r w:rsidRPr="006207BE">
        <w:rPr>
          <w:rFonts w:cs="Times New Roman"/>
          <w:iCs/>
        </w:rPr>
        <w:t>, ό.π., σ. 179 επ..</w:t>
      </w:r>
    </w:p>
  </w:footnote>
  <w:footnote w:id="157">
    <w:p w:rsidR="00346644" w:rsidRPr="006207BE" w:rsidRDefault="00346644" w:rsidP="00CF1A31">
      <w:pPr>
        <w:pStyle w:val="FootnoteText"/>
        <w:jc w:val="both"/>
        <w:rPr>
          <w:rFonts w:cs="Times New Roman"/>
          <w:iCs/>
          <w:lang w:val="en-US"/>
        </w:rPr>
      </w:pPr>
      <w:r w:rsidRPr="006207BE">
        <w:rPr>
          <w:rStyle w:val="FootnoteReference"/>
        </w:rPr>
        <w:footnoteRef/>
      </w:r>
      <w:r w:rsidRPr="006207BE">
        <w:rPr>
          <w:rStyle w:val="FootnoteReference"/>
        </w:rPr>
        <w:t xml:space="preserve"> </w:t>
      </w:r>
      <w:r w:rsidRPr="006207BE">
        <w:rPr>
          <w:rFonts w:cs="Times New Roman"/>
          <w:iCs/>
        </w:rPr>
        <w:t xml:space="preserve"> για την ηλεκτρονική Δικαιοσύνη στην Φινλανδία εγγ.  </w:t>
      </w:r>
      <w:r w:rsidRPr="006207BE">
        <w:rPr>
          <w:rFonts w:cs="Times New Roman"/>
          <w:iCs/>
          <w:lang w:val="en-US"/>
        </w:rPr>
        <w:t>Marco Fabri, Chapter 5, E-Justice in Finland and in Italy, σε F. Contini, G.F. Lanzara,  ICT and Innovation in the Public Sector, Palgrave Macmillan, London, 2009.</w:t>
      </w:r>
    </w:p>
  </w:footnote>
  <w:footnote w:id="158">
    <w:p w:rsidR="00346644" w:rsidRPr="006207BE" w:rsidRDefault="00346644" w:rsidP="00C9797E">
      <w:pPr>
        <w:pStyle w:val="FootnoteText"/>
        <w:rPr>
          <w:rFonts w:cs="Times New Roman"/>
        </w:rPr>
      </w:pPr>
      <w:r w:rsidRPr="006207BE">
        <w:rPr>
          <w:rStyle w:val="FootnoteReference"/>
          <w:rFonts w:cs="Times New Roman"/>
        </w:rPr>
        <w:footnoteRef/>
      </w:r>
      <w:r w:rsidRPr="006207BE">
        <w:rPr>
          <w:rFonts w:cs="Times New Roman"/>
        </w:rPr>
        <w:t xml:space="preserve"> κατ΄αλφαβητική σειρά.</w:t>
      </w:r>
    </w:p>
  </w:footnote>
  <w:footnote w:id="159">
    <w:p w:rsidR="00346644" w:rsidRPr="006207BE" w:rsidRDefault="00346644" w:rsidP="00CF1A31">
      <w:pPr>
        <w:shd w:val="clear" w:color="auto" w:fill="FCFCFC"/>
        <w:spacing w:after="0" w:line="240" w:lineRule="auto"/>
        <w:jc w:val="both"/>
        <w:outlineLvl w:val="0"/>
        <w:rPr>
          <w:sz w:val="20"/>
          <w:szCs w:val="20"/>
          <w:lang w:val="en-US"/>
        </w:rPr>
      </w:pPr>
      <w:r w:rsidRPr="006207BE">
        <w:rPr>
          <w:rStyle w:val="FootnoteReference"/>
          <w:sz w:val="20"/>
          <w:szCs w:val="20"/>
        </w:rPr>
        <w:footnoteRef/>
      </w:r>
      <w:r w:rsidRPr="006207BE">
        <w:rPr>
          <w:sz w:val="20"/>
          <w:szCs w:val="20"/>
        </w:rPr>
        <w:t xml:space="preserve"> ο</w:t>
      </w:r>
      <w:r w:rsidRPr="006207BE">
        <w:rPr>
          <w:rFonts w:cs="Times New Roman"/>
          <w:sz w:val="20"/>
          <w:szCs w:val="20"/>
        </w:rPr>
        <w:t xml:space="preserve">ι μικροδιαφορές προβλέπονται στα αρ. 457 – 467 ΚροατΚΠολΔ για υποθέσεις Ειρηνοδικείου έως το ποσό των 10.000 </w:t>
      </w:r>
      <w:r w:rsidRPr="006207BE">
        <w:rPr>
          <w:rFonts w:cs="Times New Roman"/>
          <w:sz w:val="20"/>
          <w:szCs w:val="20"/>
          <w:lang w:val="en-US"/>
        </w:rPr>
        <w:t>HRK</w:t>
      </w:r>
      <w:r w:rsidRPr="006207BE">
        <w:rPr>
          <w:rFonts w:cs="Times New Roman"/>
          <w:sz w:val="20"/>
          <w:szCs w:val="20"/>
        </w:rPr>
        <w:t xml:space="preserve"> και για υποθέσεις Εμποροδικείου έως το ποσό των 50.000 </w:t>
      </w:r>
      <w:r w:rsidRPr="006207BE">
        <w:rPr>
          <w:rFonts w:cs="Times New Roman"/>
          <w:sz w:val="20"/>
          <w:szCs w:val="20"/>
          <w:lang w:val="en-US"/>
        </w:rPr>
        <w:t>HRK</w:t>
      </w:r>
      <w:r w:rsidRPr="006207BE">
        <w:rPr>
          <w:rFonts w:cs="Times New Roman"/>
          <w:sz w:val="20"/>
          <w:szCs w:val="20"/>
        </w:rPr>
        <w:t xml:space="preserve">, και διεξάγονται, αποκλειστικά, με έγγραφη διαδικασία, εγγ. </w:t>
      </w:r>
      <w:r w:rsidRPr="006207BE">
        <w:rPr>
          <w:rFonts w:cs="Times New Roman"/>
          <w:sz w:val="20"/>
          <w:szCs w:val="20"/>
          <w:lang w:val="en-US"/>
        </w:rPr>
        <w:t xml:space="preserve">Uzelac A., </w:t>
      </w:r>
      <w:r w:rsidRPr="006207BE">
        <w:rPr>
          <w:rFonts w:eastAsia="Times New Roman" w:cs="Times New Roman"/>
          <w:color w:val="333333"/>
          <w:spacing w:val="2"/>
          <w:kern w:val="36"/>
          <w:sz w:val="20"/>
          <w:szCs w:val="20"/>
          <w:lang w:val="en-US"/>
        </w:rPr>
        <w:t>Croatia: Omnipotent Judges as the Cause of Procedural Inefficiency and Impotence, University of Zagreb, 2013.</w:t>
      </w:r>
      <w:r w:rsidRPr="006207BE">
        <w:rPr>
          <w:sz w:val="20"/>
          <w:szCs w:val="20"/>
          <w:lang w:val="en-US"/>
        </w:rPr>
        <w:t xml:space="preserve"> </w:t>
      </w:r>
    </w:p>
  </w:footnote>
  <w:footnote w:id="160">
    <w:p w:rsidR="00346644" w:rsidRPr="006207BE" w:rsidRDefault="00346644" w:rsidP="00C9797E">
      <w:pPr>
        <w:pStyle w:val="FootnoteText"/>
        <w:jc w:val="both"/>
      </w:pPr>
      <w:r w:rsidRPr="006207BE">
        <w:rPr>
          <w:rStyle w:val="FootnoteReference"/>
        </w:rPr>
        <w:footnoteRef/>
      </w:r>
      <w:r w:rsidRPr="006207BE">
        <w:t xml:space="preserve"> ο</w:t>
      </w:r>
      <w:r w:rsidRPr="006207BE">
        <w:rPr>
          <w:rFonts w:cs="Times New Roman"/>
        </w:rPr>
        <w:t xml:space="preserve"> ΛετΚΠολΔ προβλέπει ειδική διαδικασία περί μικροδιαφορών στα αρ. 250</w:t>
      </w:r>
      <w:r w:rsidRPr="006207BE">
        <w:rPr>
          <w:rFonts w:cs="Times New Roman"/>
          <w:vertAlign w:val="superscript"/>
        </w:rPr>
        <w:t xml:space="preserve">18 </w:t>
      </w:r>
      <w:r w:rsidRPr="006207BE">
        <w:rPr>
          <w:rFonts w:cs="Times New Roman"/>
        </w:rPr>
        <w:t>- 250</w:t>
      </w:r>
      <w:r w:rsidRPr="006207BE">
        <w:rPr>
          <w:rFonts w:cs="Times New Roman"/>
          <w:vertAlign w:val="superscript"/>
        </w:rPr>
        <w:t>27</w:t>
      </w:r>
      <w:r w:rsidRPr="006207BE">
        <w:rPr>
          <w:rFonts w:cs="Times New Roman"/>
        </w:rPr>
        <w:t xml:space="preserve">, για αστικές υποθέσεις, συμπεριλαμβανομένης </w:t>
      </w:r>
      <w:r w:rsidRPr="006207BE">
        <w:rPr>
          <w:rFonts w:eastAsia="Times New Roman" w:cs="Times New Roman"/>
          <w:bCs/>
          <w:kern w:val="36"/>
        </w:rPr>
        <w:t xml:space="preserve">της διατροφής, έως το ποσό των 2.100,00 ευρώ, η, δε, διαδικασία διεξάγεται, υποχρεωτικά, επί τη βάσει προδιατυπωμένων εντύπων (διαθ. εδώ: </w:t>
      </w:r>
      <w:hyperlink r:id="rId31" w:history="1">
        <w:r w:rsidRPr="006207BE">
          <w:rPr>
            <w:rStyle w:val="Hyperlink"/>
            <w:bCs/>
            <w:kern w:val="36"/>
          </w:rPr>
          <w:t>https://www.tiesas.lv</w:t>
        </w:r>
      </w:hyperlink>
      <w:r w:rsidRPr="006207BE">
        <w:rPr>
          <w:rFonts w:eastAsia="Times New Roman" w:cs="Times New Roman"/>
          <w:bCs/>
          <w:kern w:val="36"/>
        </w:rPr>
        <w:t>) και με έγγραφη διεξαγωγή (</w:t>
      </w:r>
      <w:hyperlink r:id="rId32" w:history="1">
        <w:r w:rsidRPr="006207BE">
          <w:rPr>
            <w:rStyle w:val="Hyperlink"/>
            <w:rFonts w:cs="Times New Roman"/>
            <w:bCs/>
            <w:kern w:val="36"/>
          </w:rPr>
          <w:t>https://e-justice.europa.eu/content_small_claims-42-lv-el.do?member=1</w:t>
        </w:r>
      </w:hyperlink>
      <w:r w:rsidRPr="006207BE">
        <w:rPr>
          <w:rFonts w:eastAsia="Times New Roman" w:cs="Times New Roman"/>
          <w:bCs/>
          <w:kern w:val="36"/>
        </w:rPr>
        <w:t>).</w:t>
      </w:r>
    </w:p>
  </w:footnote>
  <w:footnote w:id="161">
    <w:p w:rsidR="00346644" w:rsidRPr="006207BE" w:rsidRDefault="00346644" w:rsidP="00CF1A31">
      <w:pPr>
        <w:pStyle w:val="Heading1"/>
        <w:spacing w:before="0" w:beforeAutospacing="0" w:after="0" w:afterAutospacing="0"/>
        <w:jc w:val="both"/>
        <w:rPr>
          <w:rFonts w:asciiTheme="minorHAnsi" w:hAnsiTheme="minorHAnsi"/>
          <w:sz w:val="20"/>
          <w:szCs w:val="20"/>
        </w:rPr>
      </w:pPr>
      <w:r w:rsidRPr="006207BE">
        <w:rPr>
          <w:rStyle w:val="FootnoteReference"/>
          <w:rFonts w:asciiTheme="minorHAnsi" w:hAnsiTheme="minorHAnsi"/>
          <w:b w:val="0"/>
          <w:sz w:val="20"/>
          <w:szCs w:val="20"/>
        </w:rPr>
        <w:footnoteRef/>
      </w:r>
      <w:r w:rsidRPr="006207BE">
        <w:rPr>
          <w:rFonts w:asciiTheme="minorHAnsi" w:hAnsiTheme="minorHAnsi"/>
          <w:b w:val="0"/>
          <w:sz w:val="20"/>
          <w:szCs w:val="20"/>
        </w:rPr>
        <w:t xml:space="preserve"> οι μικροδιαφορές προβλέπονται στο αρ. 441 του </w:t>
      </w:r>
      <w:r w:rsidRPr="006207BE">
        <w:rPr>
          <w:rFonts w:asciiTheme="minorHAnsi" w:hAnsiTheme="minorHAnsi"/>
          <w:b w:val="0"/>
          <w:sz w:val="20"/>
          <w:szCs w:val="20"/>
          <w:lang w:val="en-US"/>
        </w:rPr>
        <w:t>XXIV</w:t>
      </w:r>
      <w:r w:rsidRPr="006207BE">
        <w:rPr>
          <w:rFonts w:asciiTheme="minorHAnsi" w:hAnsiTheme="minorHAnsi"/>
          <w:b w:val="0"/>
          <w:sz w:val="20"/>
          <w:szCs w:val="20"/>
        </w:rPr>
        <w:t xml:space="preserve"> Κεφαλαίου του ΛιθΚΠολΔ για αστικές υποθέσεις αξίας έως 1.450,00 ευρώ, επί τη βάσει προδιατυπωμένων εγγράφων (διαθ. εδώ: </w:t>
      </w:r>
      <w:hyperlink r:id="rId33" w:tgtFrame="_blank" w:history="1">
        <w:r w:rsidRPr="006207BE">
          <w:rPr>
            <w:rStyle w:val="Hyperlink"/>
            <w:rFonts w:asciiTheme="minorHAnsi" w:hAnsiTheme="minorHAnsi"/>
            <w:b w:val="0"/>
            <w:sz w:val="20"/>
            <w:szCs w:val="20"/>
            <w:bdr w:val="none" w:sz="0" w:space="0" w:color="auto" w:frame="1"/>
            <w:shd w:val="clear" w:color="auto" w:fill="FFFFFF"/>
          </w:rPr>
          <w:t>http://www.teismai.lt/en/</w:t>
        </w:r>
      </w:hyperlink>
      <w:r w:rsidRPr="006207BE">
        <w:rPr>
          <w:rFonts w:asciiTheme="minorHAnsi" w:hAnsiTheme="minorHAnsi"/>
          <w:b w:val="0"/>
          <w:color w:val="000000"/>
          <w:sz w:val="20"/>
          <w:szCs w:val="20"/>
          <w:shd w:val="clear" w:color="auto" w:fill="FFFFFF"/>
        </w:rPr>
        <w:t xml:space="preserve"> , με ημ. προσβ. 18.8.2019), η, δε, διαδικασία είναι, κατά κανόνα, έγγραφή, εκτός αν ζητήσει την προφορική διεξαγωγή εις εκ των διαδίκων, εγγ. </w:t>
      </w:r>
      <w:r w:rsidRPr="006207BE">
        <w:rPr>
          <w:rStyle w:val="Emphasis"/>
          <w:rFonts w:asciiTheme="minorHAnsi" w:hAnsiTheme="minorHAnsi"/>
          <w:b w:val="0"/>
          <w:i w:val="0"/>
          <w:color w:val="000000"/>
          <w:sz w:val="20"/>
          <w:szCs w:val="20"/>
          <w:lang w:val="en-US"/>
        </w:rPr>
        <w:t xml:space="preserve">Norvaišaitė E., </w:t>
      </w:r>
      <w:bookmarkStart w:id="0" w:name="_Toc353791003"/>
      <w:r w:rsidRPr="006207BE">
        <w:rPr>
          <w:rFonts w:asciiTheme="minorHAnsi" w:hAnsiTheme="minorHAnsi"/>
          <w:b w:val="0"/>
          <w:color w:val="000000"/>
          <w:sz w:val="20"/>
          <w:szCs w:val="20"/>
          <w:lang w:val="en-US"/>
        </w:rPr>
        <w:t>A Guide to the Lithuanian Legal Research</w:t>
      </w:r>
      <w:bookmarkEnd w:id="0"/>
      <w:r w:rsidRPr="006207BE">
        <w:rPr>
          <w:rFonts w:asciiTheme="minorHAnsi" w:hAnsiTheme="minorHAnsi"/>
          <w:b w:val="0"/>
          <w:color w:val="000000"/>
          <w:sz w:val="20"/>
          <w:szCs w:val="20"/>
          <w:lang w:val="en-US"/>
        </w:rPr>
        <w:t xml:space="preserve">, 2017, </w:t>
      </w:r>
      <w:r w:rsidRPr="006207BE">
        <w:rPr>
          <w:rFonts w:asciiTheme="minorHAnsi" w:hAnsiTheme="minorHAnsi"/>
          <w:b w:val="0"/>
          <w:color w:val="000000"/>
          <w:sz w:val="20"/>
          <w:szCs w:val="20"/>
        </w:rPr>
        <w:t>διαθ</w:t>
      </w:r>
      <w:r w:rsidRPr="006207BE">
        <w:rPr>
          <w:rFonts w:asciiTheme="minorHAnsi" w:hAnsiTheme="minorHAnsi"/>
          <w:b w:val="0"/>
          <w:color w:val="000000"/>
          <w:sz w:val="20"/>
          <w:szCs w:val="20"/>
          <w:lang w:val="en-US"/>
        </w:rPr>
        <w:t xml:space="preserve">. </w:t>
      </w:r>
      <w:r w:rsidRPr="006207BE">
        <w:rPr>
          <w:rFonts w:asciiTheme="minorHAnsi" w:hAnsiTheme="minorHAnsi"/>
          <w:b w:val="0"/>
          <w:color w:val="000000"/>
          <w:sz w:val="20"/>
          <w:szCs w:val="20"/>
        </w:rPr>
        <w:t>εδώ</w:t>
      </w:r>
      <w:r w:rsidRPr="006207BE">
        <w:rPr>
          <w:rFonts w:asciiTheme="minorHAnsi" w:hAnsiTheme="minorHAnsi"/>
          <w:b w:val="0"/>
          <w:color w:val="000000"/>
          <w:sz w:val="20"/>
          <w:szCs w:val="20"/>
          <w:lang w:val="en-US"/>
        </w:rPr>
        <w:t xml:space="preserve">: </w:t>
      </w:r>
      <w:hyperlink r:id="rId34" w:history="1">
        <w:r w:rsidRPr="006207BE">
          <w:rPr>
            <w:rStyle w:val="Hyperlink"/>
            <w:rFonts w:asciiTheme="minorHAnsi" w:hAnsiTheme="minorHAnsi"/>
            <w:b w:val="0"/>
            <w:sz w:val="20"/>
            <w:szCs w:val="20"/>
            <w:lang w:val="en-US"/>
          </w:rPr>
          <w:t>https://www.nyulawglobal.org/globalex/Lithuania1.html</w:t>
        </w:r>
      </w:hyperlink>
      <w:r w:rsidRPr="006207BE">
        <w:rPr>
          <w:rFonts w:asciiTheme="minorHAnsi" w:hAnsiTheme="minorHAnsi"/>
          <w:b w:val="0"/>
          <w:sz w:val="20"/>
          <w:szCs w:val="20"/>
          <w:lang w:val="en-US"/>
        </w:rPr>
        <w:t xml:space="preserve">, </w:t>
      </w:r>
      <w:r w:rsidRPr="006207BE">
        <w:rPr>
          <w:rFonts w:asciiTheme="minorHAnsi" w:hAnsiTheme="minorHAnsi"/>
          <w:b w:val="0"/>
          <w:sz w:val="20"/>
          <w:szCs w:val="20"/>
        </w:rPr>
        <w:t>με</w:t>
      </w:r>
      <w:r w:rsidRPr="006207BE">
        <w:rPr>
          <w:rFonts w:asciiTheme="minorHAnsi" w:hAnsiTheme="minorHAnsi"/>
          <w:b w:val="0"/>
          <w:sz w:val="20"/>
          <w:szCs w:val="20"/>
          <w:lang w:val="en-US"/>
        </w:rPr>
        <w:t xml:space="preserve"> </w:t>
      </w:r>
      <w:r w:rsidRPr="006207BE">
        <w:rPr>
          <w:rFonts w:asciiTheme="minorHAnsi" w:hAnsiTheme="minorHAnsi"/>
          <w:b w:val="0"/>
          <w:sz w:val="20"/>
          <w:szCs w:val="20"/>
        </w:rPr>
        <w:t>ημ</w:t>
      </w:r>
      <w:r w:rsidRPr="006207BE">
        <w:rPr>
          <w:rFonts w:asciiTheme="minorHAnsi" w:hAnsiTheme="minorHAnsi"/>
          <w:b w:val="0"/>
          <w:sz w:val="20"/>
          <w:szCs w:val="20"/>
          <w:lang w:val="en-US"/>
        </w:rPr>
        <w:t xml:space="preserve">. </w:t>
      </w:r>
      <w:r w:rsidRPr="006207BE">
        <w:rPr>
          <w:rFonts w:asciiTheme="minorHAnsi" w:hAnsiTheme="minorHAnsi"/>
          <w:b w:val="0"/>
          <w:sz w:val="20"/>
          <w:szCs w:val="20"/>
        </w:rPr>
        <w:t>προσβ</w:t>
      </w:r>
      <w:r w:rsidRPr="006207BE">
        <w:rPr>
          <w:rFonts w:asciiTheme="minorHAnsi" w:hAnsiTheme="minorHAnsi"/>
          <w:b w:val="0"/>
          <w:sz w:val="20"/>
          <w:szCs w:val="20"/>
          <w:lang w:val="en-US"/>
        </w:rPr>
        <w:t xml:space="preserve">. </w:t>
      </w:r>
      <w:r w:rsidRPr="006207BE">
        <w:rPr>
          <w:rFonts w:asciiTheme="minorHAnsi" w:hAnsiTheme="minorHAnsi"/>
          <w:b w:val="0"/>
          <w:sz w:val="20"/>
          <w:szCs w:val="20"/>
        </w:rPr>
        <w:t>18.8.2019.</w:t>
      </w:r>
      <w:r w:rsidRPr="006207BE">
        <w:rPr>
          <w:rFonts w:asciiTheme="minorHAnsi" w:hAnsiTheme="minorHAnsi"/>
          <w:color w:val="000000"/>
          <w:sz w:val="20"/>
          <w:szCs w:val="20"/>
          <w:shd w:val="clear" w:color="auto" w:fill="FFFFFF"/>
        </w:rPr>
        <w:t xml:space="preserve">  </w:t>
      </w:r>
      <w:r w:rsidRPr="006207BE">
        <w:rPr>
          <w:rFonts w:asciiTheme="minorHAnsi" w:hAnsiTheme="minorHAnsi"/>
          <w:sz w:val="20"/>
          <w:szCs w:val="20"/>
        </w:rPr>
        <w:t xml:space="preserve">  </w:t>
      </w:r>
    </w:p>
  </w:footnote>
  <w:footnote w:id="162">
    <w:p w:rsidR="00346644" w:rsidRPr="006207BE" w:rsidRDefault="00346644" w:rsidP="00367AA5">
      <w:pPr>
        <w:pStyle w:val="FootnoteText"/>
        <w:jc w:val="both"/>
        <w:rPr>
          <w:rStyle w:val="FootnoteReference"/>
          <w:lang w:val="en-US"/>
        </w:rPr>
      </w:pPr>
      <w:r w:rsidRPr="006207BE">
        <w:rPr>
          <w:rStyle w:val="FootnoteReference"/>
        </w:rPr>
        <w:footnoteRef/>
      </w:r>
      <w:r w:rsidRPr="006207BE">
        <w:t xml:space="preserve"> υ</w:t>
      </w:r>
      <w:r w:rsidRPr="006207BE">
        <w:rPr>
          <w:rFonts w:cs="Times New Roman"/>
        </w:rPr>
        <w:t xml:space="preserve">φίσταται Δικαστήριο Μικροδιαφορών (Small Claims Tribunal) για αστικές υποθέσεις έως το ποσό των 5.000,00 ευρώ, η, δε,  διαδικασία ενώπιον του οποίου ρυθμίζεται στο Κεφάλαιο 380 του «Small Claims Tribunal Act», επί τη βάσει προδιατυπωμένων εντύπων και μπορεί να λάβει χώρα, αποκλειστικά, ηλεκτρονικά στον επίσημο ιστότοπο </w:t>
      </w:r>
      <w:hyperlink r:id="rId35" w:history="1">
        <w:r w:rsidRPr="006207BE">
          <w:rPr>
            <w:rStyle w:val="Hyperlink"/>
            <w:rFonts w:cs="Times New Roman"/>
          </w:rPr>
          <w:t>https://ecourts.gov.mt/onlineservices</w:t>
        </w:r>
      </w:hyperlink>
      <w:r w:rsidRPr="006207BE">
        <w:rPr>
          <w:rFonts w:cs="Times New Roman"/>
        </w:rPr>
        <w:t xml:space="preserve">, με ημ. προσβ. </w:t>
      </w:r>
      <w:r w:rsidRPr="006207BE">
        <w:rPr>
          <w:rFonts w:cs="Times New Roman"/>
          <w:lang w:val="en-US"/>
        </w:rPr>
        <w:t xml:space="preserve">19.8.2019, </w:t>
      </w:r>
      <w:r w:rsidRPr="006207BE">
        <w:rPr>
          <w:rFonts w:cs="Times New Roman"/>
        </w:rPr>
        <w:t>ενώ</w:t>
      </w:r>
      <w:r w:rsidRPr="006207BE">
        <w:rPr>
          <w:rFonts w:cs="Times New Roman"/>
          <w:lang w:val="en-US"/>
        </w:rPr>
        <w:t xml:space="preserve">, </w:t>
      </w:r>
      <w:r w:rsidRPr="006207BE">
        <w:rPr>
          <w:rFonts w:cs="Times New Roman"/>
        </w:rPr>
        <w:t>η</w:t>
      </w:r>
      <w:r w:rsidRPr="006207BE">
        <w:rPr>
          <w:rFonts w:cs="Times New Roman"/>
          <w:lang w:val="en-US"/>
        </w:rPr>
        <w:t xml:space="preserve"> </w:t>
      </w:r>
      <w:r w:rsidRPr="006207BE">
        <w:rPr>
          <w:rFonts w:cs="Times New Roman"/>
        </w:rPr>
        <w:t>απόφαση</w:t>
      </w:r>
      <w:r w:rsidRPr="006207BE">
        <w:rPr>
          <w:rFonts w:cs="Times New Roman"/>
          <w:lang w:val="en-US"/>
        </w:rPr>
        <w:t xml:space="preserve"> </w:t>
      </w:r>
      <w:r w:rsidRPr="006207BE">
        <w:rPr>
          <w:rFonts w:cs="Times New Roman"/>
        </w:rPr>
        <w:t>είναι</w:t>
      </w:r>
      <w:r w:rsidRPr="006207BE">
        <w:rPr>
          <w:rFonts w:cs="Times New Roman"/>
          <w:lang w:val="en-US"/>
        </w:rPr>
        <w:t xml:space="preserve"> </w:t>
      </w:r>
      <w:r w:rsidRPr="006207BE">
        <w:rPr>
          <w:rFonts w:cs="Times New Roman"/>
        </w:rPr>
        <w:t>ελευθέρως</w:t>
      </w:r>
      <w:r w:rsidRPr="006207BE">
        <w:rPr>
          <w:rFonts w:cs="Times New Roman"/>
          <w:lang w:val="en-US"/>
        </w:rPr>
        <w:t xml:space="preserve"> </w:t>
      </w:r>
      <w:r w:rsidRPr="006207BE">
        <w:rPr>
          <w:rFonts w:cs="Times New Roman"/>
        </w:rPr>
        <w:t>εκκλητή</w:t>
      </w:r>
      <w:r w:rsidRPr="006207BE">
        <w:rPr>
          <w:rFonts w:cs="Times New Roman"/>
          <w:lang w:val="en-US"/>
        </w:rPr>
        <w:t xml:space="preserve">, </w:t>
      </w:r>
      <w:r w:rsidRPr="006207BE">
        <w:rPr>
          <w:rFonts w:cs="Times New Roman"/>
        </w:rPr>
        <w:t>εγγ</w:t>
      </w:r>
      <w:r w:rsidRPr="006207BE">
        <w:rPr>
          <w:rFonts w:cs="Times New Roman"/>
          <w:lang w:val="en-US"/>
        </w:rPr>
        <w:t xml:space="preserve">. Testone A., The Courts of Justice of Malta, Commonwealth Law Bulletin, 36.2010, </w:t>
      </w:r>
      <w:r w:rsidRPr="006207BE">
        <w:rPr>
          <w:rFonts w:cs="Times New Roman"/>
        </w:rPr>
        <w:t>σ</w:t>
      </w:r>
      <w:r w:rsidRPr="006207BE">
        <w:rPr>
          <w:rFonts w:cs="Times New Roman"/>
          <w:lang w:val="en-US"/>
        </w:rPr>
        <w:t xml:space="preserve">. 469 </w:t>
      </w:r>
      <w:r w:rsidRPr="006207BE">
        <w:rPr>
          <w:rFonts w:cs="Times New Roman"/>
        </w:rPr>
        <w:t>επ</w:t>
      </w:r>
      <w:r w:rsidRPr="006207BE">
        <w:rPr>
          <w:rFonts w:cs="Times New Roman"/>
          <w:lang w:val="en-US"/>
        </w:rPr>
        <w:t xml:space="preserve">..  </w:t>
      </w:r>
    </w:p>
  </w:footnote>
  <w:footnote w:id="163">
    <w:p w:rsidR="00346644" w:rsidRPr="006207BE" w:rsidRDefault="00346644" w:rsidP="00367AA5">
      <w:pPr>
        <w:pStyle w:val="FootnoteText"/>
        <w:jc w:val="both"/>
        <w:rPr>
          <w:lang w:val="en-US"/>
        </w:rPr>
      </w:pPr>
      <w:r w:rsidRPr="006207BE">
        <w:rPr>
          <w:rStyle w:val="FootnoteReference"/>
        </w:rPr>
        <w:footnoteRef/>
      </w:r>
      <w:r w:rsidRPr="006207BE">
        <w:t xml:space="preserve">  Ε</w:t>
      </w:r>
      <w:r w:rsidRPr="006207BE">
        <w:rPr>
          <w:rFonts w:cs="Times New Roman"/>
          <w:color w:val="000000"/>
          <w:shd w:val="clear" w:color="auto" w:fill="FFFFFF"/>
        </w:rPr>
        <w:t>ιδική διαδικασία για αστικές υποθέσεις έως το ποσό των 10.000 PLN, περίπου 2.400,00 ευρώ, προβλέπονται στα αρ. 505</w:t>
      </w:r>
      <w:r w:rsidRPr="006207BE">
        <w:rPr>
          <w:rFonts w:cs="Times New Roman"/>
          <w:color w:val="000000"/>
          <w:shd w:val="clear" w:color="auto" w:fill="FFFFFF"/>
          <w:vertAlign w:val="superscript"/>
        </w:rPr>
        <w:t>1</w:t>
      </w:r>
      <w:r w:rsidRPr="006207BE">
        <w:rPr>
          <w:rFonts w:cs="Times New Roman"/>
          <w:color w:val="000000"/>
          <w:shd w:val="clear" w:color="auto" w:fill="FFFFFF"/>
        </w:rPr>
        <w:t xml:space="preserve"> – 505</w:t>
      </w:r>
      <w:r w:rsidRPr="006207BE">
        <w:rPr>
          <w:rFonts w:cs="Times New Roman"/>
          <w:color w:val="000000"/>
          <w:shd w:val="clear" w:color="auto" w:fill="FFFFFF"/>
          <w:vertAlign w:val="superscript"/>
        </w:rPr>
        <w:t>14</w:t>
      </w:r>
      <w:r w:rsidRPr="006207BE">
        <w:rPr>
          <w:rFonts w:cs="Times New Roman"/>
          <w:color w:val="000000"/>
          <w:shd w:val="clear" w:color="auto" w:fill="FFFFFF"/>
        </w:rPr>
        <w:t xml:space="preserve"> του ΠολΚΠολΔ, επί τη βάσει προδιατυπωμένων εντύπων και με αποκλειστικά έγγραφη διεξαγωγή, η, δε, απόφαση εκκαλείται μόνο για παραβίαση του νόμου, ενώ, και στο δευτεροβάθμιο Δικαστήριο η υπόθεση εξελίσσεται εγγράφως, εκτός αν ζητήσει προφορική διεξαγωγή εις εκ των διαδίκων, εγγ. </w:t>
      </w:r>
      <w:r w:rsidRPr="006207BE">
        <w:rPr>
          <w:rFonts w:cs="Times New Roman"/>
          <w:color w:val="000000"/>
          <w:shd w:val="clear" w:color="auto" w:fill="FFFFFF"/>
          <w:lang w:val="en-US"/>
        </w:rPr>
        <w:t xml:space="preserve">Rafal Manko, «European Small Claims Procedure, Legal Analysis of the Commission’s proposal to remedy weakness in the current system», European Parliamentary Research Service, </w:t>
      </w:r>
      <w:r w:rsidRPr="006207BE">
        <w:rPr>
          <w:rFonts w:cs="Times New Roman"/>
          <w:color w:val="000000"/>
          <w:shd w:val="clear" w:color="auto" w:fill="FFFFFF"/>
        </w:rPr>
        <w:t>Νοέμβριος</w:t>
      </w:r>
      <w:r w:rsidRPr="006207BE">
        <w:rPr>
          <w:rFonts w:cs="Times New Roman"/>
          <w:color w:val="000000"/>
          <w:shd w:val="clear" w:color="auto" w:fill="FFFFFF"/>
          <w:lang w:val="en-US"/>
        </w:rPr>
        <w:t xml:space="preserve"> 2014, </w:t>
      </w:r>
      <w:r w:rsidRPr="006207BE">
        <w:rPr>
          <w:rFonts w:cs="Times New Roman"/>
          <w:color w:val="000000"/>
          <w:shd w:val="clear" w:color="auto" w:fill="FFFFFF"/>
        </w:rPr>
        <w:t>σ</w:t>
      </w:r>
      <w:r w:rsidRPr="006207BE">
        <w:rPr>
          <w:rFonts w:cs="Times New Roman"/>
          <w:color w:val="000000"/>
          <w:shd w:val="clear" w:color="auto" w:fill="FFFFFF"/>
          <w:lang w:val="en-US"/>
        </w:rPr>
        <w:t>. 6.</w:t>
      </w:r>
    </w:p>
  </w:footnote>
  <w:footnote w:id="164">
    <w:p w:rsidR="00346644" w:rsidRPr="006207BE" w:rsidRDefault="00346644" w:rsidP="00367AA5">
      <w:pPr>
        <w:pStyle w:val="FootnoteText"/>
        <w:jc w:val="both"/>
        <w:rPr>
          <w:lang w:val="en-US"/>
        </w:rPr>
      </w:pPr>
      <w:r w:rsidRPr="006207BE">
        <w:rPr>
          <w:rStyle w:val="FootnoteReference"/>
        </w:rPr>
        <w:footnoteRef/>
      </w:r>
      <w:r w:rsidRPr="006207BE">
        <w:t xml:space="preserve"> ο</w:t>
      </w:r>
      <w:r w:rsidRPr="006207BE">
        <w:rPr>
          <w:rFonts w:cs="Times New Roman"/>
        </w:rPr>
        <w:t xml:space="preserve"> νέος ΡουμΚΠολΔ, που τέθηκε σε ισχύ την 15.2.2013 και προβλέπει ειδική διαδικασία μικροδιαφορών, για αστικές υποθέσεις έως το ποσό των 10.000 </w:t>
      </w:r>
      <w:r w:rsidRPr="006207BE">
        <w:rPr>
          <w:rFonts w:cs="Times New Roman"/>
          <w:lang w:val="en-US"/>
        </w:rPr>
        <w:t>LEU</w:t>
      </w:r>
      <w:r w:rsidRPr="006207BE">
        <w:rPr>
          <w:rFonts w:cs="Times New Roman"/>
        </w:rPr>
        <w:t xml:space="preserve">, στα αρ. 1025 – 1032, υιοθέτησε σε εθνικό επίπεδο, </w:t>
      </w:r>
      <w:r w:rsidRPr="006207BE">
        <w:rPr>
          <w:rFonts w:cs="Times New Roman"/>
          <w:lang w:val="en-US"/>
        </w:rPr>
        <w:t>mutatis</w:t>
      </w:r>
      <w:r w:rsidRPr="006207BE">
        <w:rPr>
          <w:rFonts w:cs="Times New Roman"/>
        </w:rPr>
        <w:t xml:space="preserve"> </w:t>
      </w:r>
      <w:r w:rsidRPr="006207BE">
        <w:rPr>
          <w:rFonts w:cs="Times New Roman"/>
          <w:lang w:val="en-US"/>
        </w:rPr>
        <w:t>mutandis</w:t>
      </w:r>
      <w:r w:rsidRPr="006207BE">
        <w:rPr>
          <w:rFonts w:cs="Times New Roman"/>
        </w:rPr>
        <w:t>, την Ευρωπαϊκή Διαδικασία Μικροδιαφορών. Έτσι</w:t>
      </w:r>
      <w:r w:rsidRPr="006207BE">
        <w:rPr>
          <w:rFonts w:cs="Times New Roman"/>
          <w:lang w:val="en-US"/>
        </w:rPr>
        <w:t xml:space="preserve">, </w:t>
      </w:r>
      <w:r w:rsidRPr="006207BE">
        <w:rPr>
          <w:rFonts w:cs="Times New Roman"/>
        </w:rPr>
        <w:t>η</w:t>
      </w:r>
      <w:r w:rsidRPr="006207BE">
        <w:rPr>
          <w:rFonts w:cs="Times New Roman"/>
          <w:lang w:val="en-US"/>
        </w:rPr>
        <w:t xml:space="preserve"> </w:t>
      </w:r>
      <w:r w:rsidRPr="006207BE">
        <w:rPr>
          <w:rFonts w:cs="Times New Roman"/>
        </w:rPr>
        <w:t>διαδικασία</w:t>
      </w:r>
      <w:r w:rsidRPr="006207BE">
        <w:rPr>
          <w:rFonts w:cs="Times New Roman"/>
          <w:lang w:val="en-US"/>
        </w:rPr>
        <w:t xml:space="preserve"> </w:t>
      </w:r>
      <w:r w:rsidRPr="006207BE">
        <w:rPr>
          <w:rFonts w:cs="Times New Roman"/>
        </w:rPr>
        <w:t>είναι</w:t>
      </w:r>
      <w:r w:rsidRPr="006207BE">
        <w:rPr>
          <w:rFonts w:cs="Times New Roman"/>
          <w:lang w:val="en-US"/>
        </w:rPr>
        <w:t xml:space="preserve">, </w:t>
      </w:r>
      <w:r w:rsidRPr="006207BE">
        <w:rPr>
          <w:rFonts w:cs="Times New Roman"/>
        </w:rPr>
        <w:t>αμιγώς</w:t>
      </w:r>
      <w:r w:rsidRPr="006207BE">
        <w:rPr>
          <w:rFonts w:cs="Times New Roman"/>
          <w:lang w:val="en-US"/>
        </w:rPr>
        <w:t xml:space="preserve">, </w:t>
      </w:r>
      <w:r w:rsidRPr="006207BE">
        <w:rPr>
          <w:rFonts w:cs="Times New Roman"/>
        </w:rPr>
        <w:t>έγγραφη</w:t>
      </w:r>
      <w:r w:rsidRPr="006207BE">
        <w:rPr>
          <w:rFonts w:cs="Times New Roman"/>
          <w:lang w:val="en-US"/>
        </w:rPr>
        <w:t xml:space="preserve">, </w:t>
      </w:r>
      <w:r w:rsidRPr="006207BE">
        <w:rPr>
          <w:rFonts w:cs="Times New Roman"/>
        </w:rPr>
        <w:t>εγγ</w:t>
      </w:r>
      <w:r w:rsidRPr="006207BE">
        <w:rPr>
          <w:rFonts w:cs="Times New Roman"/>
          <w:lang w:val="en-US"/>
        </w:rPr>
        <w:t xml:space="preserve">. Titiriga R., </w:t>
      </w:r>
      <w:r w:rsidRPr="006207BE">
        <w:rPr>
          <w:rFonts w:cs="Times New Roman"/>
        </w:rPr>
        <w:t>Κεφάλαιο</w:t>
      </w:r>
      <w:r w:rsidRPr="006207BE">
        <w:rPr>
          <w:rFonts w:cs="Times New Roman"/>
          <w:lang w:val="en-US"/>
        </w:rPr>
        <w:t xml:space="preserve"> 12,  EU as a Normative Power Enhancing Access to Justice: Small Claims Litigation and Romania, </w:t>
      </w:r>
      <w:r w:rsidRPr="006207BE">
        <w:rPr>
          <w:rFonts w:cs="Times New Roman"/>
          <w:iCs/>
          <w:color w:val="505050"/>
          <w:shd w:val="clear" w:color="auto" w:fill="FFFFFF"/>
          <w:lang w:val="en-US"/>
        </w:rPr>
        <w:t xml:space="preserve">The European Small Claims Procedure and the Philosophy of Small Change, Neuwahl N. and Hammamoun S., Thémis, Montreal, Canada, 2014, </w:t>
      </w:r>
      <w:r w:rsidRPr="006207BE">
        <w:rPr>
          <w:rFonts w:cs="Times New Roman"/>
          <w:iCs/>
          <w:color w:val="505050"/>
          <w:shd w:val="clear" w:color="auto" w:fill="FFFFFF"/>
        </w:rPr>
        <w:t>σ</w:t>
      </w:r>
      <w:r w:rsidRPr="006207BE">
        <w:rPr>
          <w:rFonts w:cs="Times New Roman"/>
          <w:iCs/>
          <w:color w:val="505050"/>
          <w:shd w:val="clear" w:color="auto" w:fill="FFFFFF"/>
          <w:lang w:val="en-US"/>
        </w:rPr>
        <w:t>. 213-230.</w:t>
      </w:r>
    </w:p>
  </w:footnote>
  <w:footnote w:id="165">
    <w:p w:rsidR="00346644" w:rsidRPr="006207BE" w:rsidRDefault="00346644" w:rsidP="00367AA5">
      <w:pPr>
        <w:pStyle w:val="FootnoteText"/>
        <w:jc w:val="both"/>
        <w:rPr>
          <w:lang w:val="en-US"/>
        </w:rPr>
      </w:pPr>
      <w:r w:rsidRPr="006207BE">
        <w:rPr>
          <w:rStyle w:val="FootnoteReference"/>
        </w:rPr>
        <w:footnoteRef/>
      </w:r>
      <w:r w:rsidRPr="006207BE">
        <w:t xml:space="preserve"> Ε</w:t>
      </w:r>
      <w:r w:rsidRPr="006207BE">
        <w:rPr>
          <w:rFonts w:cs="Times New Roman"/>
          <w:color w:val="000000"/>
          <w:shd w:val="clear" w:color="auto" w:fill="FFFFFF"/>
        </w:rPr>
        <w:t xml:space="preserve">ιδική διαδικασία για αστικές υποθέσεις έως το ποσό των 2.000,00 ευρώ και εμπορικές έως το ποσό των 4.000,00 ευρώ, υφίστανται στα αρ. 451 επ. ΣλοβενΚΠολΔ, επί τη βάσει, αμιγώς έγγραφης διεξαγωγής, ενώ, η απόφαση εκκαλείται μόνο για παραβίαση κανόνων δικονομικού δικαίου, εγγ.  </w:t>
      </w:r>
      <w:r w:rsidRPr="006207BE">
        <w:rPr>
          <w:rFonts w:cs="Times New Roman"/>
          <w:color w:val="000000"/>
          <w:shd w:val="clear" w:color="auto" w:fill="FFFFFF"/>
          <w:lang w:val="en-US"/>
        </w:rPr>
        <w:t xml:space="preserve">Ivanc T., Evidence in Civil Law – Slovenia, Institute for Local Self-Government and Public Procurement, 2015.   </w:t>
      </w:r>
    </w:p>
  </w:footnote>
  <w:footnote w:id="166">
    <w:p w:rsidR="00346644" w:rsidRPr="006207BE" w:rsidRDefault="00346644" w:rsidP="00367AA5">
      <w:pPr>
        <w:pStyle w:val="FootnoteText"/>
        <w:jc w:val="both"/>
        <w:rPr>
          <w:lang w:val="en-US"/>
        </w:rPr>
      </w:pPr>
      <w:r w:rsidRPr="006207BE">
        <w:rPr>
          <w:rStyle w:val="FootnoteReference"/>
        </w:rPr>
        <w:footnoteRef/>
      </w:r>
      <w:r w:rsidRPr="006207BE">
        <w:t xml:space="preserve"> π</w:t>
      </w:r>
      <w:r w:rsidRPr="006207BE">
        <w:rPr>
          <w:rFonts w:cs="Times New Roman"/>
        </w:rPr>
        <w:t xml:space="preserve">ροβλέπεται ειδική διαδικασία μικροδιαφορών για ήσσονος αξίας αστικές αξιώσεις, με εξαίρεση τις υποθέσεις οικογενειακού Δικαίου, έως το ποσό των </w:t>
      </w:r>
      <w:r w:rsidRPr="006207BE">
        <w:rPr>
          <w:rFonts w:cs="Times New Roman"/>
          <w:color w:val="000000"/>
          <w:shd w:val="clear" w:color="auto" w:fill="FFFFFF"/>
        </w:rPr>
        <w:t>22.500 σουηδικών κορόνων, τιμαριθμικά αναπροσαρμοζόμενο, ενώπιον του Πρωτοδικείου (</w:t>
      </w:r>
      <w:r w:rsidRPr="006207BE">
        <w:rPr>
          <w:rFonts w:cs="Times New Roman"/>
        </w:rPr>
        <w:t>«tingsrätt», το οποίο έχει γενική αρμοδιότητα για υποθέσεις πρώτου βαθμού)</w:t>
      </w:r>
      <w:r w:rsidRPr="006207BE">
        <w:rPr>
          <w:rFonts w:cs="Times New Roman"/>
          <w:color w:val="000000"/>
          <w:shd w:val="clear" w:color="auto" w:fill="FFFFFF"/>
        </w:rPr>
        <w:t>. Η διαδικασία κινείται, προαιρετικά, επί τη βάσει προδιατυπωμένων εντύπων (</w:t>
      </w:r>
      <w:r w:rsidRPr="006207BE">
        <w:rPr>
          <w:rFonts w:cs="Times New Roman"/>
        </w:rPr>
        <w:t xml:space="preserve">διαθέσιμα στην σουηδική και στην αγγλική γλώσσα, αντίστοιχα, εδώ: </w:t>
      </w:r>
      <w:hyperlink r:id="rId36" w:history="1">
        <w:r w:rsidRPr="006207BE">
          <w:rPr>
            <w:rStyle w:val="Hyperlink"/>
            <w:rFonts w:cs="Times New Roman"/>
          </w:rPr>
          <w:t>http://www.domstol.se/Ladda-ner--bestall/Blanketter/Stamning-svaromal/Ansokan-om-stamning---DV-161/</w:t>
        </w:r>
      </w:hyperlink>
      <w:r w:rsidRPr="006207BE">
        <w:rPr>
          <w:rFonts w:cs="Times New Roman"/>
        </w:rPr>
        <w:t>, με ημ. προσβ. 16.8.2019)</w:t>
      </w:r>
      <w:r w:rsidRPr="006207BE">
        <w:rPr>
          <w:rFonts w:cs="Times New Roman"/>
          <w:color w:val="000000"/>
          <w:shd w:val="clear" w:color="auto" w:fill="FFFFFF"/>
        </w:rPr>
        <w:t xml:space="preserve"> και εξελίσσεται εγγράφως,</w:t>
      </w:r>
      <w:r w:rsidRPr="006207BE">
        <w:rPr>
          <w:rFonts w:cs="Times New Roman"/>
        </w:rPr>
        <w:t xml:space="preserve"> εφόσον δεν απαιτείται προφορική διαδικασία για τη διερεύνηση της υπόθεσης ούτε έχει ζητηθεί τέτοια από τους διαδίκους,</w:t>
      </w:r>
      <w:r w:rsidRPr="006207BE">
        <w:rPr>
          <w:rFonts w:cs="Times New Roman"/>
          <w:color w:val="000000"/>
          <w:shd w:val="clear" w:color="auto" w:fill="FFFFFF"/>
        </w:rPr>
        <w:t xml:space="preserve"> έως την έκδοση απόφασης, η οποία υπόκειται στο ένδικο μέσο της έφεσης, εφόσον το επιτρέψει το εκδόν Δικαστήριο για λόγους ευρύτερου ενδιαφέροντος, είτε διότι υπάρχουν υπόνοιες ότι η απόφαση μπορεί να ανατραπεί, εγγ. </w:t>
      </w:r>
      <w:r w:rsidRPr="006207BE">
        <w:rPr>
          <w:rFonts w:cs="Times New Roman"/>
          <w:lang w:val="en-US"/>
        </w:rPr>
        <w:t xml:space="preserve">Rafal Manko, «European Small Claims Procedure, Legal Analysis of the Commission’s proposal to remedy weakness in the current system», European Parliamentary Research Service, </w:t>
      </w:r>
      <w:r w:rsidRPr="006207BE">
        <w:rPr>
          <w:rFonts w:cs="Times New Roman"/>
        </w:rPr>
        <w:t>Νοέμβριος</w:t>
      </w:r>
      <w:r w:rsidRPr="006207BE">
        <w:rPr>
          <w:rFonts w:cs="Times New Roman"/>
          <w:lang w:val="en-US"/>
        </w:rPr>
        <w:t xml:space="preserve"> 2014, </w:t>
      </w:r>
      <w:r w:rsidRPr="006207BE">
        <w:rPr>
          <w:rFonts w:cs="Times New Roman"/>
        </w:rPr>
        <w:t>σ</w:t>
      </w:r>
      <w:r w:rsidRPr="006207BE">
        <w:rPr>
          <w:rFonts w:cs="Times New Roman"/>
          <w:lang w:val="en-US"/>
        </w:rPr>
        <w:t xml:space="preserve">. 7, Laura Evro </w:t>
      </w:r>
      <w:r w:rsidRPr="006207BE">
        <w:rPr>
          <w:rFonts w:cs="Times New Roman"/>
        </w:rPr>
        <w:t>σε</w:t>
      </w:r>
      <w:r w:rsidRPr="006207BE">
        <w:rPr>
          <w:rFonts w:cs="Times New Roman"/>
          <w:lang w:val="en-US"/>
        </w:rPr>
        <w:t xml:space="preserve"> V.V. Argunov, Voluntary (Non – Contentious) Jurisdiction around the World, Gorodets, 2017, </w:t>
      </w:r>
      <w:r w:rsidRPr="006207BE">
        <w:rPr>
          <w:rFonts w:cs="Times New Roman"/>
        </w:rPr>
        <w:t>σ</w:t>
      </w:r>
      <w:r w:rsidRPr="006207BE">
        <w:rPr>
          <w:rFonts w:cs="Times New Roman"/>
          <w:lang w:val="en-US"/>
        </w:rPr>
        <w:t xml:space="preserve">. 187 </w:t>
      </w:r>
      <w:r w:rsidRPr="006207BE">
        <w:rPr>
          <w:rFonts w:cs="Times New Roman"/>
        </w:rPr>
        <w:t>επ</w:t>
      </w:r>
      <w:r w:rsidRPr="006207BE">
        <w:rPr>
          <w:rFonts w:cs="Times New Roman"/>
          <w:lang w:val="en-US"/>
        </w:rPr>
        <w:t>..</w:t>
      </w:r>
    </w:p>
  </w:footnote>
  <w:footnote w:id="167">
    <w:p w:rsidR="00346644" w:rsidRPr="006207BE" w:rsidRDefault="00346644" w:rsidP="00C9797E">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color w:val="333333"/>
          <w:shd w:val="clear" w:color="auto" w:fill="FFFFFF"/>
        </w:rPr>
        <w:t xml:space="preserve"> σύμφωνα με τους Κανόνες του District Court  1997 &amp; 1999, όπως τροποποιήθηκαν με το ν.δ. 519 του 2009 και την υπ’ αρ. Order 53Α .</w:t>
      </w:r>
    </w:p>
  </w:footnote>
  <w:footnote w:id="168">
    <w:p w:rsidR="00346644" w:rsidRPr="006207BE" w:rsidRDefault="00346644" w:rsidP="00C9797E">
      <w:pPr>
        <w:pStyle w:val="FootnoteText"/>
        <w:jc w:val="both"/>
        <w:rPr>
          <w:rStyle w:val="FootnoteReference"/>
        </w:rPr>
      </w:pPr>
      <w:r w:rsidRPr="006207BE">
        <w:rPr>
          <w:rStyle w:val="FootnoteReference"/>
        </w:rPr>
        <w:footnoteRef/>
      </w:r>
      <w:r w:rsidRPr="006207BE">
        <w:rPr>
          <w:rFonts w:cs="Times New Roman"/>
          <w:color w:val="333333"/>
          <w:shd w:val="clear" w:color="auto" w:fill="FFFFFF"/>
        </w:rPr>
        <w:t xml:space="preserve"> από τις οποίες εξαιρούνται οι σωματικές βλάβες.</w:t>
      </w:r>
    </w:p>
  </w:footnote>
  <w:footnote w:id="169">
    <w:p w:rsidR="00346644" w:rsidRPr="006207BE" w:rsidRDefault="00346644" w:rsidP="00C9797E">
      <w:pPr>
        <w:pStyle w:val="FootnoteText"/>
        <w:jc w:val="both"/>
        <w:rPr>
          <w:rStyle w:val="FootnoteReference"/>
        </w:rPr>
      </w:pPr>
      <w:r w:rsidRPr="006207BE">
        <w:rPr>
          <w:rStyle w:val="FootnoteReference"/>
        </w:rPr>
        <w:footnoteRef/>
      </w:r>
      <w:r w:rsidRPr="006207BE">
        <w:rPr>
          <w:rFonts w:cs="Times New Roman"/>
          <w:color w:val="333333"/>
          <w:shd w:val="clear" w:color="auto" w:fill="FFFFFF"/>
        </w:rPr>
        <w:t xml:space="preserve"> από την εναλλακτική επίλυση μικροδιαφορών, εξαιρούνται, επίσης, οι μισθωτικές διαφορές, καθώς, και οποιαδήποτε άλλα χρέη. </w:t>
      </w:r>
    </w:p>
  </w:footnote>
  <w:footnote w:id="170">
    <w:p w:rsidR="00346644" w:rsidRPr="006207BE" w:rsidRDefault="00346644" w:rsidP="00C9797E">
      <w:pPr>
        <w:pStyle w:val="FootnoteText"/>
        <w:jc w:val="both"/>
        <w:rPr>
          <w:rFonts w:cs="Times New Roman"/>
          <w:color w:val="333333"/>
          <w:shd w:val="clear" w:color="auto" w:fill="FFFFFF"/>
        </w:rPr>
      </w:pPr>
      <w:r w:rsidRPr="006207BE">
        <w:rPr>
          <w:rStyle w:val="FootnoteReference"/>
        </w:rPr>
        <w:footnoteRef/>
      </w:r>
      <w:r w:rsidRPr="006207BE">
        <w:rPr>
          <w:rFonts w:cs="Times New Roman"/>
          <w:color w:val="333333"/>
          <w:shd w:val="clear" w:color="auto" w:fill="FFFFFF"/>
        </w:rPr>
        <w:t xml:space="preserve"> που μπορεί να κατατεθεί, αποκλειστικά, και μέσω διαδικτύου από τον ιστότοπο </w:t>
      </w:r>
      <w:hyperlink r:id="rId37" w:history="1">
        <w:r w:rsidRPr="006207BE">
          <w:rPr>
            <w:rStyle w:val="Hyperlink"/>
            <w:rFonts w:cs="Times New Roman"/>
            <w:color w:val="333333"/>
            <w:shd w:val="clear" w:color="auto" w:fill="FFFFFF"/>
          </w:rPr>
          <w:t>http://www.courts.ie/courts.ie/library3.nsf/pagecurrent/A9C6E93D70127EF38025810D0034EAD6?opendocument&amp;l=en</w:t>
        </w:r>
      </w:hyperlink>
      <w:r w:rsidRPr="006207BE">
        <w:rPr>
          <w:rFonts w:cs="Times New Roman"/>
          <w:color w:val="333333"/>
          <w:shd w:val="clear" w:color="auto" w:fill="FFFFFF"/>
        </w:rPr>
        <w:t>, με ημ. προσβ. 14/7/2019 .</w:t>
      </w:r>
    </w:p>
  </w:footnote>
  <w:footnote w:id="171">
    <w:p w:rsidR="00346644" w:rsidRPr="006207BE" w:rsidRDefault="00346644" w:rsidP="00C9797E">
      <w:pPr>
        <w:pStyle w:val="FootnoteText"/>
        <w:jc w:val="both"/>
        <w:rPr>
          <w:rStyle w:val="FootnoteReference"/>
        </w:rPr>
      </w:pPr>
      <w:r w:rsidRPr="006207BE">
        <w:rPr>
          <w:rStyle w:val="FootnoteReference"/>
        </w:rPr>
        <w:footnoteRef/>
      </w:r>
      <w:r w:rsidRPr="006207BE">
        <w:rPr>
          <w:rStyle w:val="FootnoteReference"/>
        </w:rPr>
        <w:t xml:space="preserve"> </w:t>
      </w:r>
      <w:r w:rsidRPr="006207BE">
        <w:rPr>
          <w:rFonts w:cs="Times New Roman"/>
          <w:color w:val="333333"/>
          <w:shd w:val="clear" w:color="auto" w:fill="FFFFFF"/>
        </w:rPr>
        <w:t>Ακόμα και αυτοπροσώπως, χωρίς την σύμπραξη πληρεξουσίου Δικηγόρου.</w:t>
      </w:r>
    </w:p>
  </w:footnote>
  <w:footnote w:id="172">
    <w:p w:rsidR="00346644" w:rsidRPr="006207BE" w:rsidRDefault="00346644" w:rsidP="00367AA5">
      <w:pPr>
        <w:pStyle w:val="FootnoteText"/>
        <w:jc w:val="both"/>
      </w:pPr>
      <w:r w:rsidRPr="006207BE">
        <w:rPr>
          <w:rStyle w:val="FootnoteReference"/>
        </w:rPr>
        <w:footnoteRef/>
      </w:r>
      <w:r w:rsidRPr="006207BE">
        <w:t xml:space="preserve"> </w:t>
      </w:r>
      <w:r w:rsidRPr="006207BE">
        <w:rPr>
          <w:rFonts w:cs="Times New Roman"/>
          <w:color w:val="333333"/>
          <w:shd w:val="clear" w:color="auto" w:fill="FFFFFF"/>
        </w:rPr>
        <w:t xml:space="preserve">ο Γραμματέας των μικροδιαφορών συνέχεται άμεσα με την προσπάθεια εξώδικης επίλυσης της μικροδιαφοράς και διενεργεί άτυπες συζητήσεις μεταξύ των μερών, προκειμένου να διακανονιστεί χωρίς την έκδοση απόφασης, Πράσινο Βιβλίο, ό.π., σ. 60. </w:t>
      </w:r>
      <w:r w:rsidRPr="006207BE">
        <w:t xml:space="preserve"> </w:t>
      </w:r>
    </w:p>
  </w:footnote>
  <w:footnote w:id="173">
    <w:p w:rsidR="00346644" w:rsidRPr="006207BE" w:rsidRDefault="00346644" w:rsidP="00C9797E">
      <w:pPr>
        <w:pStyle w:val="FootnoteText"/>
        <w:jc w:val="both"/>
        <w:rPr>
          <w:rStyle w:val="FootnoteReference"/>
        </w:rPr>
      </w:pPr>
      <w:r w:rsidRPr="006207BE">
        <w:rPr>
          <w:rStyle w:val="FootnoteReference"/>
        </w:rPr>
        <w:footnoteRef/>
      </w:r>
      <w:r w:rsidRPr="006207BE">
        <w:rPr>
          <w:rFonts w:cs="Times New Roman"/>
          <w:color w:val="333333"/>
          <w:shd w:val="clear" w:color="auto" w:fill="FFFFFF"/>
        </w:rPr>
        <w:t xml:space="preserve"> «District Court», ό.π..</w:t>
      </w:r>
    </w:p>
  </w:footnote>
  <w:footnote w:id="174">
    <w:p w:rsidR="00346644" w:rsidRPr="006207BE" w:rsidRDefault="00346644" w:rsidP="00367AA5">
      <w:pPr>
        <w:pStyle w:val="FootnoteText"/>
        <w:rPr>
          <w:rStyle w:val="FootnoteReference"/>
        </w:rPr>
      </w:pPr>
      <w:r w:rsidRPr="006207BE">
        <w:rPr>
          <w:rStyle w:val="FootnoteReference"/>
        </w:rPr>
        <w:footnoteRef/>
      </w:r>
      <w:r w:rsidRPr="006207BE">
        <w:rPr>
          <w:rFonts w:cs="Times New Roman"/>
          <w:color w:val="333333"/>
          <w:shd w:val="clear" w:color="auto" w:fill="FFFFFF"/>
        </w:rPr>
        <w:t xml:space="preserve"> διαθέσιμα εδώ: </w:t>
      </w:r>
      <w:hyperlink r:id="rId38" w:history="1">
        <w:r w:rsidRPr="006207BE">
          <w:rPr>
            <w:rStyle w:val="Hyperlink"/>
            <w:rFonts w:cs="Times New Roman"/>
            <w:color w:val="333333"/>
            <w:shd w:val="clear" w:color="auto" w:fill="FFFFFF"/>
          </w:rPr>
          <w:t>http://www.courts.ie/Courts.ie/Library3.nsf/pagecurrent/3EB43CC487572EF280257FB20055BE83?opendocument&amp;l=en</w:t>
        </w:r>
      </w:hyperlink>
      <w:r w:rsidRPr="006207BE">
        <w:rPr>
          <w:rFonts w:cs="Times New Roman"/>
          <w:color w:val="333333"/>
          <w:shd w:val="clear" w:color="auto" w:fill="FFFFFF"/>
        </w:rPr>
        <w:t>, με ημ. προσβ.  29.9.2019.</w:t>
      </w:r>
    </w:p>
  </w:footnote>
  <w:footnote w:id="175">
    <w:p w:rsidR="00346644" w:rsidRPr="006207BE" w:rsidRDefault="00346644" w:rsidP="00C9797E">
      <w:pPr>
        <w:pStyle w:val="FootnoteText"/>
        <w:jc w:val="both"/>
        <w:rPr>
          <w:rFonts w:cs="Times New Roman"/>
          <w:color w:val="333333"/>
          <w:shd w:val="clear" w:color="auto" w:fill="FFFFFF"/>
        </w:rPr>
      </w:pPr>
      <w:r w:rsidRPr="006207BE">
        <w:rPr>
          <w:rStyle w:val="FootnoteReference"/>
        </w:rPr>
        <w:footnoteRef/>
      </w:r>
      <w:r w:rsidRPr="006207BE">
        <w:rPr>
          <w:rFonts w:cs="Times New Roman"/>
          <w:color w:val="333333"/>
          <w:shd w:val="clear" w:color="auto" w:fill="FFFFFF"/>
        </w:rPr>
        <w:t xml:space="preserve"> όταν και η μικροδιαφορά θεωρείται, αυτομάτως, μη αμφισβητούμενη. </w:t>
      </w:r>
    </w:p>
  </w:footnote>
  <w:footnote w:id="176">
    <w:p w:rsidR="00346644" w:rsidRPr="006207BE" w:rsidRDefault="00346644" w:rsidP="00C9797E">
      <w:pPr>
        <w:pStyle w:val="FootnoteText"/>
        <w:jc w:val="both"/>
        <w:rPr>
          <w:rStyle w:val="FootnoteReference"/>
        </w:rPr>
      </w:pPr>
      <w:r w:rsidRPr="006207BE">
        <w:rPr>
          <w:rStyle w:val="FootnoteReference"/>
        </w:rPr>
        <w:footnoteRef/>
      </w:r>
      <w:r w:rsidRPr="006207BE">
        <w:rPr>
          <w:rFonts w:cs="Times New Roman"/>
          <w:color w:val="333333"/>
          <w:shd w:val="clear" w:color="auto" w:fill="FFFFFF"/>
        </w:rPr>
        <w:t xml:space="preserve"> Εφόσον αποτύχει και προσπάθεια συμβιβασμού των διαδίκων από τον Γραμματέα Μικροδιαφορών.</w:t>
      </w:r>
    </w:p>
  </w:footnote>
  <w:footnote w:id="177">
    <w:p w:rsidR="00346644" w:rsidRPr="006207BE" w:rsidRDefault="00346644" w:rsidP="00C9797E">
      <w:pPr>
        <w:pStyle w:val="FootnoteText"/>
        <w:jc w:val="both"/>
        <w:rPr>
          <w:lang w:val="en-US"/>
        </w:rPr>
      </w:pPr>
      <w:r w:rsidRPr="006207BE">
        <w:rPr>
          <w:rStyle w:val="FootnoteReference"/>
        </w:rPr>
        <w:footnoteRef/>
      </w:r>
      <w:r w:rsidRPr="006207BE">
        <w:rPr>
          <w:rFonts w:cs="Times New Roman"/>
          <w:color w:val="333333"/>
          <w:shd w:val="clear" w:color="auto" w:fill="FFFFFF"/>
          <w:lang w:val="en-US"/>
        </w:rPr>
        <w:t xml:space="preserve"> </w:t>
      </w:r>
      <w:r w:rsidRPr="006207BE">
        <w:rPr>
          <w:rFonts w:cs="Times New Roman"/>
          <w:color w:val="333333"/>
          <w:shd w:val="clear" w:color="auto" w:fill="FFFFFF"/>
        </w:rPr>
        <w:t>εγγ</w:t>
      </w:r>
      <w:r w:rsidRPr="006207BE">
        <w:rPr>
          <w:rFonts w:cs="Times New Roman"/>
          <w:color w:val="333333"/>
          <w:shd w:val="clear" w:color="auto" w:fill="FFFFFF"/>
          <w:lang w:val="en-US"/>
        </w:rPr>
        <w:t>.  Pablo Cortes, SMALL CLAIMS IN IRELAND AND THE EU: THE NEED FOR SYNERGY BETWEEN NATIONAL COURTS AND EXTRAJUDICIAL REDRESS, Themis, 2014.</w:t>
      </w:r>
    </w:p>
  </w:footnote>
  <w:footnote w:id="178">
    <w:p w:rsidR="007F0AEF" w:rsidRPr="006207BE" w:rsidRDefault="007F0AEF" w:rsidP="007F0AEF">
      <w:pPr>
        <w:pStyle w:val="FootnoteText"/>
        <w:jc w:val="both"/>
        <w:rPr>
          <w:lang w:val="en-US"/>
        </w:rPr>
      </w:pPr>
      <w:r w:rsidRPr="006207BE">
        <w:rPr>
          <w:rStyle w:val="FootnoteReference"/>
        </w:rPr>
        <w:footnoteRef/>
      </w:r>
      <w:r w:rsidRPr="006207BE">
        <w:rPr>
          <w:lang w:val="en-US"/>
        </w:rPr>
        <w:t xml:space="preserve"> </w:t>
      </w:r>
      <w:r w:rsidRPr="006207BE">
        <w:rPr>
          <w:rFonts w:cs="Times New Roman"/>
          <w:lang w:val="en-US"/>
        </w:rPr>
        <w:t>«</w:t>
      </w:r>
      <w:r w:rsidRPr="006207BE">
        <w:rPr>
          <w:rFonts w:cs="Times New Roman"/>
          <w:iCs/>
          <w:lang w:val="en-US"/>
        </w:rPr>
        <w:t xml:space="preserve">Tribunal de Primera Instancia», </w:t>
      </w:r>
      <w:r w:rsidRPr="006207BE">
        <w:rPr>
          <w:rFonts w:cs="Times New Roman"/>
          <w:iCs/>
        </w:rPr>
        <w:t>στην</w:t>
      </w:r>
      <w:r w:rsidRPr="006207BE">
        <w:rPr>
          <w:rFonts w:cs="Times New Roman"/>
          <w:iCs/>
          <w:lang w:val="en-US"/>
        </w:rPr>
        <w:t xml:space="preserve"> </w:t>
      </w:r>
      <w:r w:rsidRPr="006207BE">
        <w:rPr>
          <w:rFonts w:cs="Times New Roman"/>
          <w:iCs/>
        </w:rPr>
        <w:t>Ισπανία</w:t>
      </w:r>
      <w:r w:rsidRPr="006207BE">
        <w:rPr>
          <w:rFonts w:cs="Times New Roman"/>
          <w:iCs/>
          <w:lang w:val="en-US"/>
        </w:rPr>
        <w:t xml:space="preserve"> </w:t>
      </w:r>
      <w:r w:rsidRPr="006207BE">
        <w:rPr>
          <w:rFonts w:cs="Times New Roman"/>
          <w:iCs/>
        </w:rPr>
        <w:t>Ειρηνοδικεία</w:t>
      </w:r>
      <w:r w:rsidRPr="006207BE">
        <w:rPr>
          <w:rFonts w:cs="Times New Roman"/>
          <w:iCs/>
          <w:lang w:val="en-US"/>
        </w:rPr>
        <w:t xml:space="preserve"> (Juzgados de paz) </w:t>
      </w:r>
      <w:r w:rsidRPr="006207BE">
        <w:rPr>
          <w:rFonts w:cs="Times New Roman"/>
          <w:iCs/>
        </w:rPr>
        <w:t>υφίστανται</w:t>
      </w:r>
      <w:r w:rsidRPr="006207BE">
        <w:rPr>
          <w:rFonts w:cs="Times New Roman"/>
          <w:iCs/>
          <w:lang w:val="en-US"/>
        </w:rPr>
        <w:t xml:space="preserve"> </w:t>
      </w:r>
      <w:r w:rsidRPr="006207BE">
        <w:rPr>
          <w:rFonts w:cs="Times New Roman"/>
          <w:iCs/>
        </w:rPr>
        <w:t>όπου</w:t>
      </w:r>
      <w:r w:rsidRPr="006207BE">
        <w:rPr>
          <w:rFonts w:cs="Times New Roman"/>
          <w:iCs/>
          <w:lang w:val="en-US"/>
        </w:rPr>
        <w:t xml:space="preserve"> </w:t>
      </w:r>
      <w:r w:rsidRPr="006207BE">
        <w:rPr>
          <w:rFonts w:cs="Times New Roman"/>
          <w:iCs/>
        </w:rPr>
        <w:t>δεν</w:t>
      </w:r>
      <w:r w:rsidRPr="006207BE">
        <w:rPr>
          <w:rFonts w:cs="Times New Roman"/>
          <w:iCs/>
          <w:lang w:val="en-US"/>
        </w:rPr>
        <w:t xml:space="preserve"> </w:t>
      </w:r>
      <w:r w:rsidRPr="006207BE">
        <w:rPr>
          <w:rFonts w:cs="Times New Roman"/>
          <w:iCs/>
        </w:rPr>
        <w:t>λειτουργεί</w:t>
      </w:r>
      <w:r w:rsidRPr="006207BE">
        <w:rPr>
          <w:rFonts w:cs="Times New Roman"/>
          <w:iCs/>
          <w:lang w:val="en-US"/>
        </w:rPr>
        <w:t xml:space="preserve"> </w:t>
      </w:r>
      <w:r w:rsidRPr="006207BE">
        <w:rPr>
          <w:rFonts w:cs="Times New Roman"/>
          <w:iCs/>
        </w:rPr>
        <w:t>Πρωτοδικείο</w:t>
      </w:r>
      <w:r w:rsidRPr="006207BE">
        <w:rPr>
          <w:rFonts w:cs="Times New Roman"/>
          <w:iCs/>
          <w:lang w:val="en-US"/>
        </w:rPr>
        <w:t xml:space="preserve">, </w:t>
      </w:r>
      <w:r w:rsidRPr="006207BE">
        <w:rPr>
          <w:rFonts w:cs="Times New Roman"/>
          <w:iCs/>
        </w:rPr>
        <w:t>αρ</w:t>
      </w:r>
      <w:r w:rsidRPr="006207BE">
        <w:rPr>
          <w:rFonts w:cs="Times New Roman"/>
          <w:iCs/>
          <w:lang w:val="en-US"/>
        </w:rPr>
        <w:t xml:space="preserve">. 99 </w:t>
      </w:r>
      <w:r w:rsidRPr="006207BE">
        <w:rPr>
          <w:rFonts w:cs="Times New Roman"/>
          <w:iCs/>
        </w:rPr>
        <w:t>του</w:t>
      </w:r>
      <w:r w:rsidRPr="006207BE">
        <w:rPr>
          <w:rFonts w:cs="Times New Roman"/>
          <w:iCs/>
          <w:lang w:val="en-US"/>
        </w:rPr>
        <w:t xml:space="preserve"> </w:t>
      </w:r>
      <w:r w:rsidRPr="006207BE">
        <w:rPr>
          <w:rFonts w:cs="Times New Roman"/>
          <w:iCs/>
        </w:rPr>
        <w:t>ΙσπΚΟΔ</w:t>
      </w:r>
      <w:r w:rsidRPr="006207BE">
        <w:rPr>
          <w:rFonts w:cs="Times New Roman"/>
          <w:iCs/>
          <w:lang w:val="en-US"/>
        </w:rPr>
        <w:t xml:space="preserve"> (Ley Organica 6/1985, de 1 de Julio, del Poder Judicial).</w:t>
      </w:r>
    </w:p>
  </w:footnote>
  <w:footnote w:id="179">
    <w:p w:rsidR="007F0AEF" w:rsidRPr="006207BE" w:rsidRDefault="007F0AEF" w:rsidP="007F0AEF">
      <w:pPr>
        <w:pStyle w:val="FootnoteText"/>
        <w:rPr>
          <w:rStyle w:val="FootnoteReference"/>
          <w:lang w:val="en-US"/>
        </w:rPr>
      </w:pPr>
      <w:r w:rsidRPr="006207BE">
        <w:rPr>
          <w:rStyle w:val="FootnoteReference"/>
        </w:rPr>
        <w:footnoteRef/>
      </w:r>
      <w:r w:rsidRPr="006207BE">
        <w:rPr>
          <w:lang w:val="en-US"/>
        </w:rPr>
        <w:t xml:space="preserve"> </w:t>
      </w:r>
      <w:r w:rsidRPr="006207BE">
        <w:rPr>
          <w:rFonts w:cs="Times New Roman"/>
          <w:iCs/>
          <w:lang w:val="en-US"/>
        </w:rPr>
        <w:t>αρ. 248 ΙσπΚΠολΔ «Ley de Enjuiciamiento Civil».</w:t>
      </w:r>
    </w:p>
  </w:footnote>
  <w:footnote w:id="180">
    <w:p w:rsidR="007F0AEF" w:rsidRPr="006207BE" w:rsidRDefault="007F0AEF" w:rsidP="007F0AEF">
      <w:pPr>
        <w:autoSpaceDE w:val="0"/>
        <w:autoSpaceDN w:val="0"/>
        <w:adjustRightInd w:val="0"/>
        <w:spacing w:after="0" w:line="240" w:lineRule="auto"/>
        <w:jc w:val="both"/>
        <w:rPr>
          <w:sz w:val="20"/>
          <w:szCs w:val="20"/>
          <w:lang w:val="en-US"/>
        </w:rPr>
      </w:pPr>
      <w:r w:rsidRPr="006207BE">
        <w:rPr>
          <w:rStyle w:val="FootnoteReference"/>
          <w:sz w:val="20"/>
          <w:szCs w:val="20"/>
        </w:rPr>
        <w:footnoteRef/>
      </w:r>
      <w:r w:rsidRPr="006207BE">
        <w:rPr>
          <w:sz w:val="20"/>
          <w:szCs w:val="20"/>
          <w:lang w:val="en-US"/>
        </w:rPr>
        <w:t xml:space="preserve"> «</w:t>
      </w:r>
      <w:r w:rsidRPr="006207BE">
        <w:rPr>
          <w:rFonts w:cs="Times New Roman"/>
          <w:iCs/>
          <w:sz w:val="20"/>
          <w:szCs w:val="20"/>
          <w:lang w:val="en-US"/>
        </w:rPr>
        <w:t xml:space="preserve">Juicio </w:t>
      </w:r>
      <w:r w:rsidRPr="006207BE">
        <w:rPr>
          <w:rFonts w:cs="Times New Roman"/>
          <w:iCs/>
          <w:sz w:val="20"/>
          <w:szCs w:val="20"/>
        </w:rPr>
        <w:t>Ο</w:t>
      </w:r>
      <w:r w:rsidRPr="006207BE">
        <w:rPr>
          <w:rFonts w:cs="Times New Roman"/>
          <w:iCs/>
          <w:sz w:val="20"/>
          <w:szCs w:val="20"/>
          <w:lang w:val="en-US"/>
        </w:rPr>
        <w:t xml:space="preserve">rdinario» </w:t>
      </w:r>
      <w:r w:rsidRPr="006207BE">
        <w:rPr>
          <w:rFonts w:cs="Times New Roman"/>
          <w:iCs/>
          <w:sz w:val="20"/>
          <w:szCs w:val="20"/>
        </w:rPr>
        <w:t>και</w:t>
      </w:r>
      <w:r w:rsidRPr="006207BE">
        <w:rPr>
          <w:rFonts w:cs="Times New Roman"/>
          <w:iCs/>
          <w:sz w:val="20"/>
          <w:szCs w:val="20"/>
          <w:lang w:val="en-US"/>
        </w:rPr>
        <w:t xml:space="preserve"> «Juicio Verbal» </w:t>
      </w:r>
      <w:r w:rsidRPr="006207BE">
        <w:rPr>
          <w:rFonts w:cs="Times New Roman"/>
          <w:iCs/>
          <w:sz w:val="20"/>
          <w:szCs w:val="20"/>
        </w:rPr>
        <w:t>σε</w:t>
      </w:r>
      <w:r w:rsidRPr="006207BE">
        <w:rPr>
          <w:rFonts w:cs="Times New Roman"/>
          <w:iCs/>
          <w:sz w:val="20"/>
          <w:szCs w:val="20"/>
          <w:lang w:val="en-US"/>
        </w:rPr>
        <w:t xml:space="preserve"> </w:t>
      </w:r>
      <w:r w:rsidRPr="006207BE">
        <w:rPr>
          <w:rFonts w:cs="Times New Roman"/>
          <w:iCs/>
          <w:sz w:val="20"/>
          <w:szCs w:val="20"/>
        </w:rPr>
        <w:t>μετάφραση</w:t>
      </w:r>
      <w:r w:rsidRPr="006207BE">
        <w:rPr>
          <w:rFonts w:cs="Times New Roman"/>
          <w:iCs/>
          <w:sz w:val="20"/>
          <w:szCs w:val="20"/>
          <w:lang w:val="en-US"/>
        </w:rPr>
        <w:t xml:space="preserve"> «Ordinary Procedure» </w:t>
      </w:r>
      <w:r w:rsidRPr="006207BE">
        <w:rPr>
          <w:rFonts w:cs="Times New Roman"/>
          <w:iCs/>
          <w:sz w:val="20"/>
          <w:szCs w:val="20"/>
        </w:rPr>
        <w:t>και</w:t>
      </w:r>
      <w:r w:rsidRPr="006207BE">
        <w:rPr>
          <w:rFonts w:cs="Times New Roman"/>
          <w:iCs/>
          <w:sz w:val="20"/>
          <w:szCs w:val="20"/>
          <w:lang w:val="en-US"/>
        </w:rPr>
        <w:t xml:space="preserve"> «Oral Procedure </w:t>
      </w:r>
      <w:r w:rsidRPr="006207BE">
        <w:rPr>
          <w:rFonts w:cs="Times New Roman"/>
          <w:iCs/>
          <w:sz w:val="20"/>
          <w:szCs w:val="20"/>
        </w:rPr>
        <w:t>ή</w:t>
      </w:r>
      <w:r w:rsidRPr="006207BE">
        <w:rPr>
          <w:rFonts w:cs="Times New Roman"/>
          <w:iCs/>
          <w:sz w:val="20"/>
          <w:szCs w:val="20"/>
          <w:lang w:val="en-US"/>
        </w:rPr>
        <w:t xml:space="preserve"> Fast Track Procedure» </w:t>
      </w:r>
      <w:r w:rsidRPr="006207BE">
        <w:rPr>
          <w:rFonts w:cs="Times New Roman"/>
          <w:iCs/>
          <w:sz w:val="20"/>
          <w:szCs w:val="20"/>
        </w:rPr>
        <w:t>από</w:t>
      </w:r>
      <w:r w:rsidRPr="006207BE">
        <w:rPr>
          <w:rFonts w:cs="Times New Roman"/>
          <w:iCs/>
          <w:sz w:val="20"/>
          <w:szCs w:val="20"/>
          <w:lang w:val="en-US"/>
        </w:rPr>
        <w:t xml:space="preserve"> Wiley’s English – Spanish Dictionary, BJA.</w:t>
      </w:r>
    </w:p>
  </w:footnote>
  <w:footnote w:id="181">
    <w:p w:rsidR="007F0AEF" w:rsidRPr="006207BE" w:rsidRDefault="007F0AEF" w:rsidP="007F0AEF">
      <w:pPr>
        <w:shd w:val="clear" w:color="auto" w:fill="FFFFFF"/>
        <w:spacing w:after="0"/>
        <w:jc w:val="both"/>
        <w:rPr>
          <w:sz w:val="20"/>
          <w:szCs w:val="20"/>
          <w:lang w:val="en-US"/>
        </w:rPr>
      </w:pPr>
      <w:r w:rsidRPr="006207BE">
        <w:rPr>
          <w:rStyle w:val="FootnoteReference"/>
          <w:sz w:val="20"/>
          <w:szCs w:val="20"/>
        </w:rPr>
        <w:footnoteRef/>
      </w:r>
      <w:r w:rsidRPr="006207BE">
        <w:rPr>
          <w:sz w:val="20"/>
          <w:szCs w:val="20"/>
          <w:lang w:val="en-US"/>
        </w:rPr>
        <w:t xml:space="preserve"> </w:t>
      </w:r>
      <w:r w:rsidRPr="006207BE">
        <w:rPr>
          <w:rFonts w:cs="Times New Roman"/>
          <w:sz w:val="20"/>
          <w:szCs w:val="20"/>
          <w:lang w:val="en-US"/>
        </w:rPr>
        <w:t>Pompeu C., Xavier B., Ciro G., Emma T., Núria G., Mercedes B., Marta P., Jordi C.,</w:t>
      </w:r>
      <w:hyperlink r:id="rId39" w:history="1">
        <w:r w:rsidRPr="006207BE">
          <w:rPr>
            <w:rStyle w:val="Hyperlink"/>
            <w:rFonts w:cs="Times New Roman"/>
            <w:bCs/>
            <w:sz w:val="20"/>
            <w:szCs w:val="20"/>
            <w:lang w:val="en-US"/>
          </w:rPr>
          <w:t>The e-Sentencias prototype: a procedural ontology for legal multimedia applications in the Spanish Civil Courts</w:t>
        </w:r>
      </w:hyperlink>
      <w:r w:rsidRPr="006207BE">
        <w:rPr>
          <w:rStyle w:val="titol"/>
          <w:rFonts w:cs="Times New Roman"/>
          <w:sz w:val="20"/>
          <w:szCs w:val="20"/>
          <w:shd w:val="clear" w:color="auto" w:fill="FFFFFF"/>
          <w:lang w:val="en-US"/>
        </w:rPr>
        <w:t xml:space="preserve">, </w:t>
      </w:r>
      <w:r w:rsidRPr="006207BE">
        <w:rPr>
          <w:rFonts w:cs="Times New Roman"/>
          <w:color w:val="000000"/>
          <w:sz w:val="20"/>
          <w:szCs w:val="20"/>
          <w:shd w:val="clear" w:color="auto" w:fill="FFFFFF"/>
          <w:lang w:val="en-US"/>
        </w:rPr>
        <w:t>Amsterdam IOS Press 2009.</w:t>
      </w:r>
    </w:p>
  </w:footnote>
  <w:footnote w:id="182">
    <w:p w:rsidR="007F0AEF" w:rsidRPr="006207BE" w:rsidRDefault="007F0AEF" w:rsidP="007F0AEF">
      <w:pPr>
        <w:pStyle w:val="Heading1"/>
        <w:spacing w:before="0" w:beforeAutospacing="0" w:after="0" w:afterAutospacing="0"/>
        <w:jc w:val="both"/>
        <w:rPr>
          <w:rFonts w:asciiTheme="minorHAnsi" w:hAnsiTheme="minorHAnsi"/>
          <w:sz w:val="20"/>
          <w:szCs w:val="20"/>
          <w:lang w:val="en-US"/>
        </w:rPr>
      </w:pPr>
      <w:r w:rsidRPr="006207BE">
        <w:rPr>
          <w:rStyle w:val="FootnoteReference"/>
          <w:rFonts w:asciiTheme="minorHAnsi" w:hAnsiTheme="minorHAnsi" w:cstheme="minorBidi"/>
          <w:sz w:val="20"/>
          <w:szCs w:val="20"/>
        </w:rPr>
        <w:footnoteRef/>
      </w:r>
      <w:r w:rsidRPr="006207BE">
        <w:rPr>
          <w:rFonts w:asciiTheme="minorHAnsi" w:eastAsiaTheme="minorEastAsia" w:hAnsiTheme="minorHAnsi"/>
          <w:b w:val="0"/>
          <w:bCs w:val="0"/>
          <w:iCs/>
          <w:kern w:val="0"/>
          <w:sz w:val="20"/>
          <w:szCs w:val="20"/>
          <w:lang w:val="en-US"/>
        </w:rPr>
        <w:t xml:space="preserve"> Cortes P., Does the Proposed European Procedure Enhance the Resolution of Small Claims?, Civil Justice Quarterly, 27.2008, σ. 86.</w:t>
      </w:r>
    </w:p>
  </w:footnote>
  <w:footnote w:id="183">
    <w:p w:rsidR="007F0AEF" w:rsidRPr="006207BE" w:rsidRDefault="007F0AEF" w:rsidP="007F0AEF">
      <w:pPr>
        <w:pStyle w:val="FootnoteText"/>
      </w:pPr>
      <w:r w:rsidRPr="006207BE">
        <w:rPr>
          <w:rStyle w:val="FootnoteReference"/>
        </w:rPr>
        <w:footnoteRef/>
      </w:r>
      <w:r w:rsidRPr="006207BE">
        <w:t xml:space="preserve"> Πράσινο Βιβλίο, ό.π., σ. 56. </w:t>
      </w:r>
    </w:p>
  </w:footnote>
  <w:footnote w:id="184">
    <w:p w:rsidR="007F0AEF" w:rsidRPr="006207BE" w:rsidRDefault="007F0AEF" w:rsidP="007F0AEF">
      <w:pPr>
        <w:pStyle w:val="FootnoteText"/>
        <w:jc w:val="both"/>
      </w:pPr>
      <w:r w:rsidRPr="006207BE">
        <w:rPr>
          <w:rStyle w:val="FootnoteReference"/>
        </w:rPr>
        <w:footnoteRef/>
      </w:r>
      <w:r w:rsidRPr="006207BE">
        <w:t xml:space="preserve"> </w:t>
      </w:r>
      <w:r w:rsidRPr="006207BE">
        <w:rPr>
          <w:rFonts w:cs="Times New Roman"/>
          <w:iCs/>
        </w:rPr>
        <w:t xml:space="preserve">διαθ. εδώ: </w:t>
      </w:r>
      <w:hyperlink r:id="rId40" w:history="1">
        <w:r w:rsidRPr="006207BE">
          <w:rPr>
            <w:rStyle w:val="Hyperlink"/>
            <w:rFonts w:cs="Times New Roman"/>
            <w:iCs/>
            <w:lang w:val="en-US"/>
          </w:rPr>
          <w:t>http</w:t>
        </w:r>
        <w:r w:rsidRPr="006207BE">
          <w:rPr>
            <w:rStyle w:val="Hyperlink"/>
            <w:rFonts w:cs="Times New Roman"/>
            <w:iCs/>
          </w:rPr>
          <w:t>://</w:t>
        </w:r>
        <w:r w:rsidRPr="006207BE">
          <w:rPr>
            <w:rStyle w:val="Hyperlink"/>
            <w:rFonts w:cs="Times New Roman"/>
            <w:iCs/>
            <w:lang w:val="en-US"/>
          </w:rPr>
          <w:t>www</w:t>
        </w:r>
        <w:r w:rsidRPr="006207BE">
          <w:rPr>
            <w:rStyle w:val="Hyperlink"/>
            <w:rFonts w:cs="Times New Roman"/>
            <w:iCs/>
          </w:rPr>
          <w:t>.</w:t>
        </w:r>
        <w:r w:rsidRPr="006207BE">
          <w:rPr>
            <w:rStyle w:val="Hyperlink"/>
            <w:rFonts w:cs="Times New Roman"/>
            <w:iCs/>
            <w:lang w:val="en-US"/>
          </w:rPr>
          <w:t>poderjudicial</w:t>
        </w:r>
        <w:r w:rsidRPr="006207BE">
          <w:rPr>
            <w:rStyle w:val="Hyperlink"/>
            <w:rFonts w:cs="Times New Roman"/>
            <w:iCs/>
          </w:rPr>
          <w:t>.</w:t>
        </w:r>
        <w:r w:rsidRPr="006207BE">
          <w:rPr>
            <w:rStyle w:val="Hyperlink"/>
            <w:rFonts w:cs="Times New Roman"/>
            <w:iCs/>
            <w:lang w:val="en-US"/>
          </w:rPr>
          <w:t>es</w:t>
        </w:r>
        <w:r w:rsidRPr="006207BE">
          <w:rPr>
            <w:rStyle w:val="Hyperlink"/>
            <w:rFonts w:cs="Times New Roman"/>
            <w:iCs/>
          </w:rPr>
          <w:t>/</w:t>
        </w:r>
        <w:r w:rsidRPr="006207BE">
          <w:rPr>
            <w:rStyle w:val="Hyperlink"/>
            <w:rFonts w:cs="Times New Roman"/>
            <w:iCs/>
            <w:lang w:val="en-US"/>
          </w:rPr>
          <w:t>cgpj</w:t>
        </w:r>
        <w:r w:rsidRPr="006207BE">
          <w:rPr>
            <w:rStyle w:val="Hyperlink"/>
            <w:rFonts w:cs="Times New Roman"/>
            <w:iCs/>
          </w:rPr>
          <w:t>/</w:t>
        </w:r>
        <w:r w:rsidRPr="006207BE">
          <w:rPr>
            <w:rStyle w:val="Hyperlink"/>
            <w:rFonts w:cs="Times New Roman"/>
            <w:iCs/>
            <w:lang w:val="en-US"/>
          </w:rPr>
          <w:t>es</w:t>
        </w:r>
        <w:r w:rsidRPr="006207BE">
          <w:rPr>
            <w:rStyle w:val="Hyperlink"/>
            <w:rFonts w:cs="Times New Roman"/>
            <w:iCs/>
          </w:rPr>
          <w:t>/</w:t>
        </w:r>
        <w:r w:rsidRPr="006207BE">
          <w:rPr>
            <w:rStyle w:val="Hyperlink"/>
            <w:rFonts w:cs="Times New Roman"/>
            <w:iCs/>
            <w:lang w:val="en-US"/>
          </w:rPr>
          <w:t>Servicios</w:t>
        </w:r>
        <w:r w:rsidRPr="006207BE">
          <w:rPr>
            <w:rStyle w:val="Hyperlink"/>
            <w:rFonts w:cs="Times New Roman"/>
            <w:iCs/>
          </w:rPr>
          <w:t>/</w:t>
        </w:r>
        <w:r w:rsidRPr="006207BE">
          <w:rPr>
            <w:rStyle w:val="Hyperlink"/>
            <w:rFonts w:cs="Times New Roman"/>
            <w:iCs/>
            <w:lang w:val="en-US"/>
          </w:rPr>
          <w:t>Atencion</w:t>
        </w:r>
        <w:r w:rsidRPr="006207BE">
          <w:rPr>
            <w:rStyle w:val="Hyperlink"/>
            <w:rFonts w:cs="Times New Roman"/>
            <w:iCs/>
          </w:rPr>
          <w:t>-</w:t>
        </w:r>
        <w:r w:rsidRPr="006207BE">
          <w:rPr>
            <w:rStyle w:val="Hyperlink"/>
            <w:rFonts w:cs="Times New Roman"/>
            <w:iCs/>
            <w:lang w:val="en-US"/>
          </w:rPr>
          <w:t>Ciudadana</w:t>
        </w:r>
        <w:r w:rsidRPr="006207BE">
          <w:rPr>
            <w:rStyle w:val="Hyperlink"/>
            <w:rFonts w:cs="Times New Roman"/>
            <w:iCs/>
          </w:rPr>
          <w:t>/</w:t>
        </w:r>
        <w:r w:rsidRPr="006207BE">
          <w:rPr>
            <w:rStyle w:val="Hyperlink"/>
            <w:rFonts w:cs="Times New Roman"/>
            <w:iCs/>
            <w:lang w:val="en-US"/>
          </w:rPr>
          <w:t>Modelos</w:t>
        </w:r>
        <w:r w:rsidRPr="006207BE">
          <w:rPr>
            <w:rStyle w:val="Hyperlink"/>
            <w:rFonts w:cs="Times New Roman"/>
            <w:iCs/>
          </w:rPr>
          <w:t>-</w:t>
        </w:r>
        <w:r w:rsidRPr="006207BE">
          <w:rPr>
            <w:rStyle w:val="Hyperlink"/>
            <w:rFonts w:cs="Times New Roman"/>
            <w:iCs/>
            <w:lang w:val="en-US"/>
          </w:rPr>
          <w:t>normalizados</w:t>
        </w:r>
        <w:r w:rsidRPr="006207BE">
          <w:rPr>
            <w:rStyle w:val="Hyperlink"/>
            <w:rFonts w:cs="Times New Roman"/>
            <w:iCs/>
          </w:rPr>
          <w:t>/</w:t>
        </w:r>
        <w:r w:rsidRPr="006207BE">
          <w:rPr>
            <w:rStyle w:val="Hyperlink"/>
            <w:rFonts w:cs="Times New Roman"/>
            <w:iCs/>
            <w:lang w:val="en-US"/>
          </w:rPr>
          <w:t>El</w:t>
        </w:r>
        <w:r w:rsidRPr="006207BE">
          <w:rPr>
            <w:rStyle w:val="Hyperlink"/>
            <w:rFonts w:cs="Times New Roman"/>
            <w:iCs/>
          </w:rPr>
          <w:t>-</w:t>
        </w:r>
        <w:r w:rsidRPr="006207BE">
          <w:rPr>
            <w:rStyle w:val="Hyperlink"/>
            <w:rFonts w:cs="Times New Roman"/>
            <w:iCs/>
            <w:lang w:val="en-US"/>
          </w:rPr>
          <w:t>juicio</w:t>
        </w:r>
        <w:r w:rsidRPr="006207BE">
          <w:rPr>
            <w:rStyle w:val="Hyperlink"/>
            <w:rFonts w:cs="Times New Roman"/>
            <w:iCs/>
          </w:rPr>
          <w:t>-</w:t>
        </w:r>
        <w:r w:rsidRPr="006207BE">
          <w:rPr>
            <w:rStyle w:val="Hyperlink"/>
            <w:rFonts w:cs="Times New Roman"/>
            <w:iCs/>
            <w:lang w:val="en-US"/>
          </w:rPr>
          <w:t>verbal</w:t>
        </w:r>
        <w:r w:rsidRPr="006207BE">
          <w:rPr>
            <w:rStyle w:val="Hyperlink"/>
            <w:rFonts w:cs="Times New Roman"/>
            <w:iCs/>
          </w:rPr>
          <w:t>-</w:t>
        </w:r>
      </w:hyperlink>
      <w:r w:rsidRPr="006207BE">
        <w:rPr>
          <w:rFonts w:cs="Times New Roman"/>
          <w:iCs/>
        </w:rPr>
        <w:t>, με ημ. προσβ. 19.8.2019</w:t>
      </w:r>
      <w:r w:rsidRPr="006207BE">
        <w:t xml:space="preserve"> .</w:t>
      </w:r>
    </w:p>
  </w:footnote>
  <w:footnote w:id="185">
    <w:p w:rsidR="007F0AEF" w:rsidRPr="006207BE" w:rsidRDefault="007F0AEF" w:rsidP="007F0AEF">
      <w:pPr>
        <w:pStyle w:val="FootnoteText"/>
      </w:pPr>
      <w:r w:rsidRPr="006207BE">
        <w:rPr>
          <w:rStyle w:val="FootnoteReference"/>
        </w:rPr>
        <w:footnoteRef/>
      </w:r>
      <w:r w:rsidRPr="006207BE">
        <w:t xml:space="preserve"> </w:t>
      </w:r>
      <w:r w:rsidRPr="006207BE">
        <w:rPr>
          <w:rFonts w:cs="Times New Roman"/>
          <w:iCs/>
        </w:rPr>
        <w:t>αρ. 455 ΙσπΚΠολΔ.</w:t>
      </w:r>
      <w:r w:rsidRPr="006207BE">
        <w:t xml:space="preserve"> </w:t>
      </w:r>
    </w:p>
  </w:footnote>
  <w:footnote w:id="186">
    <w:p w:rsidR="007F0AEF" w:rsidRPr="006207BE" w:rsidRDefault="007F0AEF" w:rsidP="007F0AEF">
      <w:pPr>
        <w:pStyle w:val="FootnoteText"/>
        <w:jc w:val="both"/>
        <w:rPr>
          <w:lang w:val="en-US"/>
        </w:rPr>
      </w:pPr>
      <w:r w:rsidRPr="006207BE">
        <w:rPr>
          <w:rStyle w:val="FootnoteReference"/>
        </w:rPr>
        <w:footnoteRef/>
      </w:r>
      <w:r w:rsidRPr="006207BE">
        <w:t xml:space="preserve"> Σημαντική, πάντως, είναι και η διαδικασία «διαταγής πληρωμής» («</w:t>
      </w:r>
      <w:r w:rsidRPr="006207BE">
        <w:rPr>
          <w:rFonts w:cs="Times New Roman"/>
          <w:iCs/>
          <w:lang w:val="en-US"/>
        </w:rPr>
        <w:t>proceso</w:t>
      </w:r>
      <w:r w:rsidRPr="006207BE">
        <w:rPr>
          <w:rFonts w:cs="Times New Roman"/>
          <w:iCs/>
        </w:rPr>
        <w:t xml:space="preserve"> </w:t>
      </w:r>
      <w:r w:rsidRPr="006207BE">
        <w:rPr>
          <w:rFonts w:cs="Times New Roman"/>
          <w:iCs/>
          <w:lang w:val="en-US"/>
        </w:rPr>
        <w:t>monitorio</w:t>
      </w:r>
      <w:r w:rsidRPr="006207BE">
        <w:rPr>
          <w:rFonts w:cs="Times New Roman"/>
          <w:iCs/>
        </w:rPr>
        <w:t>» σε μετάφραση ό.π..),</w:t>
      </w:r>
      <w:r w:rsidRPr="006207BE">
        <w:t>, που ρυθμίζεται στα αρ. 812 – 818 ΙσπΚΠολΔ, για την είσπραξη απαιτήσεων έως 30.000,00 ευρώ, κατά την οποία δανειστής, που έχει στη διάθεσή του έγγραφη απόδειξη της απαίτησής του, μπορεί να ζητήσει την απευθείας εξόφληση της οφειλής σε προθεσμία είκοσι ημερών από την κατάθεση της αίτησης, εντός της οποίας ο καθ’ ου μπορεί να την αποδεχτεί, να προβάλλει αιτολογημένες αντιρρήσεις, οπότε και η διαδικασία συνεχίζεται κατά το κοινό δικονομικό δίκαιο, είτε να κρατήσει «παθητική στάση», οπότε και η συνέχιση της διαδικασίας, κατά τις κοινές διατάξεις, επαφύεται, εκ νέου, στο δανειστή, ενώ, επί άπρακτης παρόδου της προθεσμίας χορηγείται εκτελεστός τίτλος για την επίσπευση της απαίτησης,</w:t>
      </w:r>
      <w:r w:rsidRPr="006207BE">
        <w:rPr>
          <w:rFonts w:cs="Times New Roman"/>
          <w:iCs/>
        </w:rPr>
        <w:t xml:space="preserve"> εγγ. </w:t>
      </w:r>
      <w:r w:rsidRPr="006207BE">
        <w:rPr>
          <w:rFonts w:cs="Times New Roman"/>
          <w:iCs/>
          <w:lang w:val="en-US"/>
        </w:rPr>
        <w:t>Esplugues C. A.urelio, Enforcement of Non-Judicial Titles in Spain,. COMPARATIVE STUDIES ON ENFORCEMENT AND PROVISIONAL MEASURES, p. 134, R. Stürner and M. Kawano, eds., Mohr Siebeck, 2011, σ. 148 επ.)</w:t>
      </w:r>
      <w:r w:rsidRPr="006207BE">
        <w:rPr>
          <w:lang w:val="en-US"/>
        </w:rPr>
        <w:t>.</w:t>
      </w:r>
    </w:p>
  </w:footnote>
  <w:footnote w:id="187">
    <w:p w:rsidR="00147E78" w:rsidRPr="006207BE" w:rsidRDefault="00147E78">
      <w:pPr>
        <w:pStyle w:val="FootnoteText"/>
      </w:pPr>
      <w:r w:rsidRPr="006207BE">
        <w:rPr>
          <w:rStyle w:val="FootnoteReference"/>
        </w:rPr>
        <w:footnoteRef/>
      </w:r>
      <w:r w:rsidRPr="006207BE">
        <w:t xml:space="preserve"> </w:t>
      </w:r>
      <w:r w:rsidRPr="006207BE">
        <w:rPr>
          <w:rFonts w:cs="Times New Roman"/>
        </w:rPr>
        <w:t>με εξαίρεση τις υποθέσεις οικογενειακού Δικαίου.</w:t>
      </w:r>
    </w:p>
  </w:footnote>
  <w:footnote w:id="188">
    <w:p w:rsidR="00147E78" w:rsidRPr="006207BE" w:rsidRDefault="00147E78">
      <w:pPr>
        <w:pStyle w:val="FootnoteText"/>
      </w:pPr>
      <w:r w:rsidRPr="006207BE">
        <w:rPr>
          <w:rStyle w:val="FootnoteReference"/>
        </w:rPr>
        <w:footnoteRef/>
      </w:r>
      <w:r w:rsidRPr="006207BE">
        <w:t xml:space="preserve"> </w:t>
      </w:r>
      <w:r w:rsidRPr="006207BE">
        <w:rPr>
          <w:rFonts w:cs="Times New Roman"/>
        </w:rPr>
        <w:t>«tingsrätt», το οποίο έχει γενική αρμοδιότητα για υποθέσεις πρώτου βαθμού</w:t>
      </w:r>
      <w:r w:rsidRPr="006207BE">
        <w:rPr>
          <w:rFonts w:cs="Times New Roman"/>
          <w:color w:val="000000"/>
          <w:shd w:val="clear" w:color="auto" w:fill="FFFFFF"/>
        </w:rPr>
        <w:t>.</w:t>
      </w:r>
    </w:p>
  </w:footnote>
  <w:footnote w:id="189">
    <w:p w:rsidR="00147E78" w:rsidRPr="006207BE" w:rsidRDefault="00147E78" w:rsidP="00147E78">
      <w:pPr>
        <w:pStyle w:val="FootnoteText"/>
        <w:jc w:val="both"/>
        <w:rPr>
          <w:lang w:val="en-US"/>
        </w:rPr>
      </w:pPr>
      <w:r w:rsidRPr="006207BE">
        <w:rPr>
          <w:rStyle w:val="FootnoteReference"/>
        </w:rPr>
        <w:footnoteRef/>
      </w:r>
      <w:r w:rsidRPr="006207BE">
        <w:rPr>
          <w:rFonts w:cs="Times New Roman"/>
        </w:rPr>
        <w:t xml:space="preserve">διαθέσιμα στην σουηδική και στην αγγλική γλώσσα, αντίστοιχα, εδώ: </w:t>
      </w:r>
      <w:hyperlink r:id="rId41" w:history="1">
        <w:r w:rsidRPr="006207BE">
          <w:rPr>
            <w:rStyle w:val="Hyperlink"/>
            <w:rFonts w:cs="Times New Roman"/>
          </w:rPr>
          <w:t>http://www.domstol.se/Ladda-ner--bestall/Blanketter/Stamning-svaromal/Ansokan-om-stamning---DV-161/</w:t>
        </w:r>
      </w:hyperlink>
      <w:r w:rsidRPr="006207BE">
        <w:rPr>
          <w:rFonts w:cs="Times New Roman"/>
        </w:rPr>
        <w:t xml:space="preserve">, με ημ. προσβ. </w:t>
      </w:r>
      <w:r w:rsidRPr="006207BE">
        <w:rPr>
          <w:rFonts w:cs="Times New Roman"/>
          <w:lang w:val="en-US"/>
        </w:rPr>
        <w:t>16.8.2019.</w:t>
      </w:r>
    </w:p>
  </w:footnote>
  <w:footnote w:id="190">
    <w:p w:rsidR="00147E78" w:rsidRPr="006207BE" w:rsidRDefault="00147E78" w:rsidP="00147E78">
      <w:pPr>
        <w:pStyle w:val="FootnoteText"/>
        <w:jc w:val="both"/>
        <w:rPr>
          <w:lang w:val="en-US"/>
        </w:rPr>
      </w:pPr>
      <w:r w:rsidRPr="006207BE">
        <w:rPr>
          <w:rStyle w:val="FootnoteReference"/>
        </w:rPr>
        <w:footnoteRef/>
      </w:r>
      <w:r w:rsidRPr="006207BE">
        <w:rPr>
          <w:lang w:val="en-US"/>
        </w:rPr>
        <w:t xml:space="preserve"> </w:t>
      </w:r>
      <w:r w:rsidRPr="006207BE">
        <w:rPr>
          <w:rFonts w:cs="Times New Roman"/>
          <w:color w:val="000000"/>
          <w:shd w:val="clear" w:color="auto" w:fill="FFFFFF"/>
        </w:rPr>
        <w:t>εγγ</w:t>
      </w:r>
      <w:r w:rsidRPr="006207BE">
        <w:rPr>
          <w:rFonts w:cs="Times New Roman"/>
          <w:color w:val="000000"/>
          <w:shd w:val="clear" w:color="auto" w:fill="FFFFFF"/>
          <w:lang w:val="en-US"/>
        </w:rPr>
        <w:t xml:space="preserve">. </w:t>
      </w:r>
      <w:r w:rsidRPr="006207BE">
        <w:rPr>
          <w:rFonts w:cs="Times New Roman"/>
          <w:lang w:val="en-US"/>
        </w:rPr>
        <w:t xml:space="preserve">Rafal Manko, «European Small Claims Procedure, Legal Analysis of the Commission’s proposal to remedy weakness in the current system», European Parliamentary Research Service, </w:t>
      </w:r>
      <w:r w:rsidRPr="006207BE">
        <w:rPr>
          <w:rFonts w:cs="Times New Roman"/>
        </w:rPr>
        <w:t>Νοέμβριος</w:t>
      </w:r>
      <w:r w:rsidRPr="006207BE">
        <w:rPr>
          <w:rFonts w:cs="Times New Roman"/>
          <w:lang w:val="en-US"/>
        </w:rPr>
        <w:t xml:space="preserve"> 2014, </w:t>
      </w:r>
      <w:r w:rsidRPr="006207BE">
        <w:rPr>
          <w:rFonts w:cs="Times New Roman"/>
        </w:rPr>
        <w:t>σ</w:t>
      </w:r>
      <w:r w:rsidRPr="006207BE">
        <w:rPr>
          <w:rFonts w:cs="Times New Roman"/>
          <w:lang w:val="en-US"/>
        </w:rPr>
        <w:t xml:space="preserve">. 7, Laura Evro </w:t>
      </w:r>
      <w:r w:rsidRPr="006207BE">
        <w:rPr>
          <w:rFonts w:cs="Times New Roman"/>
        </w:rPr>
        <w:t>σε</w:t>
      </w:r>
      <w:r w:rsidRPr="006207BE">
        <w:rPr>
          <w:rFonts w:cs="Times New Roman"/>
          <w:lang w:val="en-US"/>
        </w:rPr>
        <w:t xml:space="preserve"> V.V. Argunov, Voluntary (Non – Contentious) Jurisdiction around the World, Gorodets, 2017, </w:t>
      </w:r>
      <w:r w:rsidRPr="006207BE">
        <w:rPr>
          <w:rFonts w:cs="Times New Roman"/>
        </w:rPr>
        <w:t>σ</w:t>
      </w:r>
      <w:r w:rsidRPr="006207BE">
        <w:rPr>
          <w:rFonts w:cs="Times New Roman"/>
          <w:lang w:val="en-US"/>
        </w:rPr>
        <w:t xml:space="preserve">. 187 </w:t>
      </w:r>
      <w:r w:rsidRPr="006207BE">
        <w:rPr>
          <w:rFonts w:cs="Times New Roman"/>
        </w:rPr>
        <w:t>επ</w:t>
      </w:r>
      <w:r w:rsidRPr="006207BE">
        <w:rPr>
          <w:rFonts w:cs="Times New Roman"/>
          <w:lang w:val="en-US"/>
        </w:rPr>
        <w:t>..</w:t>
      </w:r>
    </w:p>
  </w:footnote>
  <w:footnote w:id="191">
    <w:p w:rsidR="00346644" w:rsidRPr="006207BE" w:rsidRDefault="00346644" w:rsidP="00367AA5">
      <w:pPr>
        <w:pStyle w:val="FootnoteText"/>
        <w:jc w:val="both"/>
      </w:pPr>
      <w:r w:rsidRPr="006207BE">
        <w:rPr>
          <w:rStyle w:val="FootnoteReference"/>
        </w:rPr>
        <w:footnoteRef/>
      </w:r>
      <w:r w:rsidRPr="006207BE">
        <w:t xml:space="preserve"> </w:t>
      </w:r>
      <w:r w:rsidRPr="006207BE">
        <w:rPr>
          <w:rFonts w:cs="Times New Roman"/>
          <w:iCs/>
        </w:rPr>
        <w:t xml:space="preserve">καίτοι  το ανώτατο όριο διαφέρει αισθητά, από 600,00 ευρώ στην Γερμανία έως 25.000,00 ευρώ στην Ολλανδία, </w:t>
      </w:r>
      <w:r w:rsidRPr="006207BE">
        <w:rPr>
          <w:rFonts w:cs="Times New Roman"/>
          <w:iCs/>
          <w:lang w:val="en-US"/>
        </w:rPr>
        <w:t>Rafal</w:t>
      </w:r>
      <w:r w:rsidRPr="006207BE">
        <w:rPr>
          <w:rFonts w:cs="Times New Roman"/>
          <w:iCs/>
        </w:rPr>
        <w:t xml:space="preserve"> </w:t>
      </w:r>
      <w:r w:rsidRPr="006207BE">
        <w:rPr>
          <w:rFonts w:cs="Times New Roman"/>
          <w:iCs/>
          <w:lang w:val="en-US"/>
        </w:rPr>
        <w:t>Manko</w:t>
      </w:r>
      <w:r w:rsidRPr="006207BE">
        <w:rPr>
          <w:rFonts w:cs="Times New Roman"/>
          <w:iCs/>
        </w:rPr>
        <w:t xml:space="preserve"> ό.π., σ. 4.</w:t>
      </w:r>
    </w:p>
  </w:footnote>
  <w:footnote w:id="192">
    <w:p w:rsidR="00241B8F" w:rsidRPr="006207BE" w:rsidRDefault="00241B8F">
      <w:pPr>
        <w:pStyle w:val="FootnoteText"/>
      </w:pPr>
      <w:r w:rsidRPr="006207BE">
        <w:rPr>
          <w:rStyle w:val="FootnoteReference"/>
        </w:rPr>
        <w:footnoteRef/>
      </w:r>
      <w:r w:rsidRPr="006207BE">
        <w:t xml:space="preserve"> Τούτο ισχύει στην Ιρλανδία.</w:t>
      </w:r>
    </w:p>
  </w:footnote>
  <w:footnote w:id="193">
    <w:p w:rsidR="00346644" w:rsidRPr="006207BE" w:rsidRDefault="00346644" w:rsidP="00367AA5">
      <w:pPr>
        <w:spacing w:after="0" w:line="240" w:lineRule="auto"/>
        <w:jc w:val="both"/>
        <w:rPr>
          <w:sz w:val="20"/>
          <w:szCs w:val="20"/>
        </w:rPr>
      </w:pPr>
      <w:r w:rsidRPr="006207BE">
        <w:rPr>
          <w:rStyle w:val="FootnoteReference"/>
          <w:sz w:val="20"/>
          <w:szCs w:val="20"/>
        </w:rPr>
        <w:footnoteRef/>
      </w:r>
      <w:r w:rsidRPr="006207BE">
        <w:rPr>
          <w:sz w:val="20"/>
          <w:szCs w:val="20"/>
        </w:rPr>
        <w:t xml:space="preserve">  </w:t>
      </w:r>
      <w:r w:rsidRPr="006207BE">
        <w:rPr>
          <w:rFonts w:cs="Times New Roman"/>
          <w:sz w:val="20"/>
          <w:szCs w:val="20"/>
        </w:rPr>
        <w:t>και, δη, στην Αυστρία, Βέλγιο, Βουλγαρία, Δανία, Ιταλία, Κύπρο, Λουξεμβούργο, Ολλανδία,  Ουγγαρία,  Σλοβακία, Τσεχία και στην Φινλανδία.</w:t>
      </w:r>
      <w:r w:rsidRPr="006207BE">
        <w:rPr>
          <w:sz w:val="20"/>
          <w:szCs w:val="20"/>
        </w:rPr>
        <w:t xml:space="preserve"> </w:t>
      </w:r>
    </w:p>
  </w:footnote>
  <w:footnote w:id="194">
    <w:p w:rsidR="00346644" w:rsidRPr="006207BE" w:rsidRDefault="00346644" w:rsidP="00367AA5">
      <w:pPr>
        <w:pStyle w:val="FootnoteText"/>
        <w:jc w:val="both"/>
      </w:pPr>
      <w:r w:rsidRPr="006207BE">
        <w:rPr>
          <w:rStyle w:val="FootnoteReference"/>
        </w:rPr>
        <w:footnoteRef/>
      </w:r>
      <w:r w:rsidRPr="006207BE">
        <w:t xml:space="preserve"> </w:t>
      </w:r>
      <w:r w:rsidRPr="006207BE">
        <w:rPr>
          <w:rFonts w:cs="Times New Roman"/>
        </w:rPr>
        <w:t xml:space="preserve">τούτο ισχύει για την Αυστρία, το Βέλγιο, τη Βουλγαρία, το Λουξεμβούργο, τη Σλοβακία και την Τσεχία επί τη βάσει του συστήματος «μη απόδειξης» για τη διαταγή πληρωμής, καθώς, και στην Φινλανδία στα πλαίσια της εκούσιας δικαιοδοσίας, ενώ, ποσοτικοί περιορισμοί στο ύψος του αιτούμενου ποσού για τη διαταγή πληρωμής τίθενται στην Αυστρία, στο Βέλγιο και στο Λουξεμβούργο. </w:t>
      </w:r>
    </w:p>
  </w:footnote>
  <w:footnote w:id="195">
    <w:p w:rsidR="00346644" w:rsidRPr="006207BE" w:rsidRDefault="00346644" w:rsidP="008C5E27">
      <w:pPr>
        <w:pStyle w:val="FootnoteText"/>
        <w:jc w:val="both"/>
      </w:pPr>
      <w:r w:rsidRPr="006207BE">
        <w:rPr>
          <w:rStyle w:val="FootnoteReference"/>
        </w:rPr>
        <w:footnoteRef/>
      </w:r>
      <w:r w:rsidRPr="006207BE">
        <w:rPr>
          <w:lang w:val="en-US"/>
        </w:rPr>
        <w:t xml:space="preserve"> </w:t>
      </w:r>
      <w:r w:rsidRPr="006207BE">
        <w:rPr>
          <w:rFonts w:cs="Times New Roman"/>
          <w:lang w:val="en-US"/>
        </w:rPr>
        <w:t xml:space="preserve">Kramer, Xandra E., A Major Step in the Harmonization of Procedural Law in Europe: The European Small Claims Procedure: Accomplishments, New Features and Some Fundamental Questions of European Harmonization (December, 11 2008). THE XIIITH WORLD CONGRESS OF PROCEDURAL LAW: THE BELGIAN AND DUTCH REPORTS, A.W. Jongbloed, ed., Antwerp-Oxford-Portland: Intersentia, 2008, </w:t>
      </w:r>
      <w:r w:rsidRPr="006207BE">
        <w:rPr>
          <w:rFonts w:cs="Times New Roman"/>
        </w:rPr>
        <w:t>σ</w:t>
      </w:r>
      <w:r w:rsidRPr="006207BE">
        <w:rPr>
          <w:rFonts w:cs="Times New Roman"/>
          <w:lang w:val="en-US"/>
        </w:rPr>
        <w:t xml:space="preserve">. 12, </w:t>
      </w:r>
      <w:r w:rsidRPr="006207BE">
        <w:rPr>
          <w:rFonts w:cs="Times New Roman"/>
        </w:rPr>
        <w:t>δ</w:t>
      </w:r>
      <w:r w:rsidRPr="006207BE">
        <w:rPr>
          <w:rFonts w:cs="Times New Roman"/>
          <w:lang w:val="en-US"/>
        </w:rPr>
        <w:t>ιαθ. εδώ: </w:t>
      </w:r>
      <w:hyperlink r:id="rId42" w:tgtFrame="_blank" w:history="1">
        <w:r w:rsidRPr="006207BE">
          <w:rPr>
            <w:rStyle w:val="Hyperlink"/>
            <w:rFonts w:cs="Times New Roman"/>
            <w:lang w:val="en-US"/>
          </w:rPr>
          <w:t>https://ssrn.com/abstract=1314727</w:t>
        </w:r>
      </w:hyperlink>
      <w:r w:rsidRPr="006207BE">
        <w:rPr>
          <w:rFonts w:cs="Times New Roman"/>
          <w:lang w:val="en-US"/>
        </w:rPr>
        <w:t xml:space="preserve">, με ημ. προσβ. </w:t>
      </w:r>
      <w:r w:rsidRPr="006207BE">
        <w:rPr>
          <w:rFonts w:cs="Times New Roman"/>
        </w:rPr>
        <w:t>20.8.2019.</w:t>
      </w:r>
    </w:p>
  </w:footnote>
  <w:footnote w:id="196">
    <w:p w:rsidR="00346644" w:rsidRPr="006207BE" w:rsidRDefault="00346644" w:rsidP="00367AA5">
      <w:pPr>
        <w:pStyle w:val="FootnoteText"/>
        <w:jc w:val="both"/>
      </w:pPr>
      <w:r w:rsidRPr="006207BE">
        <w:rPr>
          <w:rStyle w:val="FootnoteReference"/>
        </w:rPr>
        <w:footnoteRef/>
      </w:r>
      <w:r w:rsidRPr="006207BE">
        <w:t xml:space="preserve"> </w:t>
      </w:r>
      <w:r w:rsidRPr="006207BE">
        <w:rPr>
          <w:rFonts w:cs="Times New Roman"/>
        </w:rPr>
        <w:t>με εξαίρεση την ημεδαπή και την Ιταλία.</w:t>
      </w:r>
    </w:p>
  </w:footnote>
  <w:footnote w:id="197">
    <w:p w:rsidR="00346644" w:rsidRPr="006207BE" w:rsidRDefault="00346644">
      <w:pPr>
        <w:pStyle w:val="FootnoteText"/>
      </w:pPr>
      <w:r w:rsidRPr="006207BE">
        <w:rPr>
          <w:rStyle w:val="FootnoteReference"/>
        </w:rPr>
        <w:footnoteRef/>
      </w:r>
      <w:r w:rsidRPr="006207BE">
        <w:t xml:space="preserve"> </w:t>
      </w:r>
      <w:r w:rsidRPr="006207BE">
        <w:rPr>
          <w:rFonts w:cs="Times New Roman"/>
        </w:rPr>
        <w:t>και, δη, στην Εσθονία, Κροατία, Λετονία, Λιθουανία, Πολωνία, Ρουμανία και Σλοβενία</w:t>
      </w:r>
      <w:r w:rsidRPr="006207BE">
        <w:t xml:space="preserve"> </w:t>
      </w:r>
    </w:p>
  </w:footnote>
  <w:footnote w:id="198">
    <w:p w:rsidR="00346644" w:rsidRPr="006207BE" w:rsidRDefault="00346644">
      <w:pPr>
        <w:pStyle w:val="FootnoteText"/>
      </w:pPr>
      <w:r w:rsidRPr="006207BE">
        <w:rPr>
          <w:rStyle w:val="FootnoteReference"/>
        </w:rPr>
        <w:footnoteRef/>
      </w:r>
      <w:r w:rsidRPr="006207BE">
        <w:t xml:space="preserve"> </w:t>
      </w:r>
      <w:r w:rsidRPr="006207BE">
        <w:rPr>
          <w:rFonts w:cs="Times New Roman"/>
        </w:rPr>
        <w:t>και, δη, στην Γερμανία και στην Σουηδία.</w:t>
      </w:r>
      <w:r w:rsidRPr="006207BE">
        <w:t xml:space="preserve"> </w:t>
      </w:r>
    </w:p>
  </w:footnote>
  <w:footnote w:id="199">
    <w:p w:rsidR="00346644" w:rsidRPr="006207BE" w:rsidRDefault="00346644">
      <w:pPr>
        <w:pStyle w:val="FootnoteText"/>
      </w:pPr>
      <w:r w:rsidRPr="006207BE">
        <w:rPr>
          <w:rStyle w:val="FootnoteReference"/>
        </w:rPr>
        <w:footnoteRef/>
      </w:r>
      <w:r w:rsidRPr="006207BE">
        <w:t xml:space="preserve"> σ</w:t>
      </w:r>
      <w:r w:rsidRPr="006207BE">
        <w:rPr>
          <w:rFonts w:cs="Times New Roman"/>
        </w:rPr>
        <w:t>την Γαλλία, Ισπανία, Μάλτα και Πορτογαλία, καθώς, και στην Ιρλανδία.</w:t>
      </w:r>
    </w:p>
    <w:p w:rsidR="00346644" w:rsidRPr="006207BE" w:rsidRDefault="00346644">
      <w:pPr>
        <w:pStyle w:val="FootnoteText"/>
      </w:pPr>
      <w:r w:rsidRPr="006207B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21B"/>
    <w:multiLevelType w:val="hybridMultilevel"/>
    <w:tmpl w:val="27623C72"/>
    <w:lvl w:ilvl="0" w:tplc="82A453A4">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A9154CD"/>
    <w:multiLevelType w:val="hybridMultilevel"/>
    <w:tmpl w:val="F9F85226"/>
    <w:lvl w:ilvl="0" w:tplc="CEBE0062">
      <w:start w:val="6"/>
      <w:numFmt w:val="bullet"/>
      <w:lvlText w:val="-"/>
      <w:lvlJc w:val="left"/>
      <w:pPr>
        <w:ind w:left="1080" w:hanging="360"/>
      </w:pPr>
      <w:rPr>
        <w:rFonts w:ascii="Times New Roman" w:eastAsia="Times New Roman" w:hAnsi="Times New Roman" w:cs="Times New Roman" w:hint="default"/>
        <w:sz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BBA3701"/>
    <w:multiLevelType w:val="hybridMultilevel"/>
    <w:tmpl w:val="700ABF30"/>
    <w:lvl w:ilvl="0" w:tplc="3D8C824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4923"/>
    <w:rsid w:val="00001C81"/>
    <w:rsid w:val="000026C3"/>
    <w:rsid w:val="00015ADB"/>
    <w:rsid w:val="00030BDA"/>
    <w:rsid w:val="00036FC2"/>
    <w:rsid w:val="00041463"/>
    <w:rsid w:val="00043EEB"/>
    <w:rsid w:val="00084FE3"/>
    <w:rsid w:val="00093055"/>
    <w:rsid w:val="0009331E"/>
    <w:rsid w:val="000B2E74"/>
    <w:rsid w:val="000B6830"/>
    <w:rsid w:val="000B7D8C"/>
    <w:rsid w:val="000C7455"/>
    <w:rsid w:val="000D5BFC"/>
    <w:rsid w:val="000E379C"/>
    <w:rsid w:val="000F34ED"/>
    <w:rsid w:val="000F5791"/>
    <w:rsid w:val="00110901"/>
    <w:rsid w:val="001159B2"/>
    <w:rsid w:val="00147E78"/>
    <w:rsid w:val="0015188A"/>
    <w:rsid w:val="001615F5"/>
    <w:rsid w:val="001A2F68"/>
    <w:rsid w:val="001C494F"/>
    <w:rsid w:val="001F1C00"/>
    <w:rsid w:val="00222028"/>
    <w:rsid w:val="00231A97"/>
    <w:rsid w:val="00241B8F"/>
    <w:rsid w:val="002530B2"/>
    <w:rsid w:val="00272BFA"/>
    <w:rsid w:val="00274A65"/>
    <w:rsid w:val="00286AEF"/>
    <w:rsid w:val="00291047"/>
    <w:rsid w:val="002B1059"/>
    <w:rsid w:val="002B4775"/>
    <w:rsid w:val="002C482D"/>
    <w:rsid w:val="002E63F8"/>
    <w:rsid w:val="002F4A0D"/>
    <w:rsid w:val="002F6CC5"/>
    <w:rsid w:val="0030147F"/>
    <w:rsid w:val="0030519D"/>
    <w:rsid w:val="00307AF9"/>
    <w:rsid w:val="0033060F"/>
    <w:rsid w:val="00337539"/>
    <w:rsid w:val="00341F6A"/>
    <w:rsid w:val="00346644"/>
    <w:rsid w:val="00351586"/>
    <w:rsid w:val="003566F3"/>
    <w:rsid w:val="003601D6"/>
    <w:rsid w:val="003619C0"/>
    <w:rsid w:val="00361D64"/>
    <w:rsid w:val="00367AA5"/>
    <w:rsid w:val="00367BAB"/>
    <w:rsid w:val="00370FEA"/>
    <w:rsid w:val="00375CD7"/>
    <w:rsid w:val="00376E50"/>
    <w:rsid w:val="00380681"/>
    <w:rsid w:val="0038536A"/>
    <w:rsid w:val="00392E17"/>
    <w:rsid w:val="003942DC"/>
    <w:rsid w:val="003B38F4"/>
    <w:rsid w:val="003B5793"/>
    <w:rsid w:val="003F65C7"/>
    <w:rsid w:val="004178B9"/>
    <w:rsid w:val="0042147B"/>
    <w:rsid w:val="00445B1F"/>
    <w:rsid w:val="0046127E"/>
    <w:rsid w:val="0046341A"/>
    <w:rsid w:val="0047070B"/>
    <w:rsid w:val="00474CF9"/>
    <w:rsid w:val="004839F1"/>
    <w:rsid w:val="00483CD0"/>
    <w:rsid w:val="004913FC"/>
    <w:rsid w:val="004A4F19"/>
    <w:rsid w:val="004C5511"/>
    <w:rsid w:val="004C5904"/>
    <w:rsid w:val="004D5665"/>
    <w:rsid w:val="004E481B"/>
    <w:rsid w:val="004E48E2"/>
    <w:rsid w:val="004E49C3"/>
    <w:rsid w:val="004E5EAF"/>
    <w:rsid w:val="00513E6A"/>
    <w:rsid w:val="00535445"/>
    <w:rsid w:val="0053709F"/>
    <w:rsid w:val="0054356C"/>
    <w:rsid w:val="0056427F"/>
    <w:rsid w:val="00566959"/>
    <w:rsid w:val="005711CA"/>
    <w:rsid w:val="005768CD"/>
    <w:rsid w:val="0059027E"/>
    <w:rsid w:val="00595042"/>
    <w:rsid w:val="005A7770"/>
    <w:rsid w:val="005D1DDC"/>
    <w:rsid w:val="005D1F26"/>
    <w:rsid w:val="005D23AE"/>
    <w:rsid w:val="005D48D1"/>
    <w:rsid w:val="005D5AA4"/>
    <w:rsid w:val="005D6F19"/>
    <w:rsid w:val="005E2B87"/>
    <w:rsid w:val="005F6403"/>
    <w:rsid w:val="00607E3C"/>
    <w:rsid w:val="00616722"/>
    <w:rsid w:val="00617653"/>
    <w:rsid w:val="006207BE"/>
    <w:rsid w:val="00634FCF"/>
    <w:rsid w:val="00637E70"/>
    <w:rsid w:val="00651296"/>
    <w:rsid w:val="006527D0"/>
    <w:rsid w:val="006574F0"/>
    <w:rsid w:val="00670289"/>
    <w:rsid w:val="00670FAF"/>
    <w:rsid w:val="00680885"/>
    <w:rsid w:val="00690309"/>
    <w:rsid w:val="00694FA6"/>
    <w:rsid w:val="0069536B"/>
    <w:rsid w:val="006A4DC9"/>
    <w:rsid w:val="006D231A"/>
    <w:rsid w:val="006D7B87"/>
    <w:rsid w:val="006E267B"/>
    <w:rsid w:val="00706976"/>
    <w:rsid w:val="00710635"/>
    <w:rsid w:val="00716654"/>
    <w:rsid w:val="007211BA"/>
    <w:rsid w:val="00732E8F"/>
    <w:rsid w:val="007371B1"/>
    <w:rsid w:val="00742184"/>
    <w:rsid w:val="007459C9"/>
    <w:rsid w:val="00746D35"/>
    <w:rsid w:val="00775F87"/>
    <w:rsid w:val="00787CFE"/>
    <w:rsid w:val="00795872"/>
    <w:rsid w:val="007A6D6A"/>
    <w:rsid w:val="007B0442"/>
    <w:rsid w:val="007C2786"/>
    <w:rsid w:val="007C4787"/>
    <w:rsid w:val="007C522D"/>
    <w:rsid w:val="007D0721"/>
    <w:rsid w:val="007D136C"/>
    <w:rsid w:val="007D568B"/>
    <w:rsid w:val="007E004C"/>
    <w:rsid w:val="007E0DE5"/>
    <w:rsid w:val="007E2099"/>
    <w:rsid w:val="007E4581"/>
    <w:rsid w:val="007E7064"/>
    <w:rsid w:val="007F0AEF"/>
    <w:rsid w:val="00810FB6"/>
    <w:rsid w:val="0083656C"/>
    <w:rsid w:val="00840794"/>
    <w:rsid w:val="00846C90"/>
    <w:rsid w:val="008507AE"/>
    <w:rsid w:val="00851CC3"/>
    <w:rsid w:val="008528E5"/>
    <w:rsid w:val="00856033"/>
    <w:rsid w:val="00861BFE"/>
    <w:rsid w:val="00862D08"/>
    <w:rsid w:val="00865839"/>
    <w:rsid w:val="0086706F"/>
    <w:rsid w:val="00867718"/>
    <w:rsid w:val="00870746"/>
    <w:rsid w:val="00870C7D"/>
    <w:rsid w:val="00881F59"/>
    <w:rsid w:val="008903D2"/>
    <w:rsid w:val="0089238B"/>
    <w:rsid w:val="008952C1"/>
    <w:rsid w:val="00895C9F"/>
    <w:rsid w:val="008A27B9"/>
    <w:rsid w:val="008A65FA"/>
    <w:rsid w:val="008A6BF1"/>
    <w:rsid w:val="008C0A75"/>
    <w:rsid w:val="008C5E27"/>
    <w:rsid w:val="008D4C3C"/>
    <w:rsid w:val="00904BD1"/>
    <w:rsid w:val="00910576"/>
    <w:rsid w:val="009144ED"/>
    <w:rsid w:val="00931119"/>
    <w:rsid w:val="00936E17"/>
    <w:rsid w:val="00945594"/>
    <w:rsid w:val="00971F99"/>
    <w:rsid w:val="00972B7B"/>
    <w:rsid w:val="009737CD"/>
    <w:rsid w:val="00976862"/>
    <w:rsid w:val="009A20CD"/>
    <w:rsid w:val="009A2AAF"/>
    <w:rsid w:val="009A75CD"/>
    <w:rsid w:val="009B2EFC"/>
    <w:rsid w:val="009B3902"/>
    <w:rsid w:val="009B7C7F"/>
    <w:rsid w:val="009D0018"/>
    <w:rsid w:val="009D3B2A"/>
    <w:rsid w:val="00A045BE"/>
    <w:rsid w:val="00A10ECE"/>
    <w:rsid w:val="00A14F17"/>
    <w:rsid w:val="00A15BB1"/>
    <w:rsid w:val="00A21C64"/>
    <w:rsid w:val="00A22581"/>
    <w:rsid w:val="00A25045"/>
    <w:rsid w:val="00A3121B"/>
    <w:rsid w:val="00A323FE"/>
    <w:rsid w:val="00A559C9"/>
    <w:rsid w:val="00A7372B"/>
    <w:rsid w:val="00A84214"/>
    <w:rsid w:val="00AA2BC4"/>
    <w:rsid w:val="00AC5C0C"/>
    <w:rsid w:val="00AC649E"/>
    <w:rsid w:val="00AD21DD"/>
    <w:rsid w:val="00AE1546"/>
    <w:rsid w:val="00AE30FA"/>
    <w:rsid w:val="00AE565E"/>
    <w:rsid w:val="00AE7890"/>
    <w:rsid w:val="00AE7ABC"/>
    <w:rsid w:val="00AF7CDA"/>
    <w:rsid w:val="00B037C9"/>
    <w:rsid w:val="00B06BF0"/>
    <w:rsid w:val="00B10FC7"/>
    <w:rsid w:val="00B234C1"/>
    <w:rsid w:val="00B667E6"/>
    <w:rsid w:val="00B704AF"/>
    <w:rsid w:val="00B86D1A"/>
    <w:rsid w:val="00BA2E1E"/>
    <w:rsid w:val="00BA6153"/>
    <w:rsid w:val="00BB0CA0"/>
    <w:rsid w:val="00BB503F"/>
    <w:rsid w:val="00BE20FA"/>
    <w:rsid w:val="00BE2FE4"/>
    <w:rsid w:val="00C00FE6"/>
    <w:rsid w:val="00C0625E"/>
    <w:rsid w:val="00C13198"/>
    <w:rsid w:val="00C2480C"/>
    <w:rsid w:val="00C33546"/>
    <w:rsid w:val="00C436D4"/>
    <w:rsid w:val="00C44462"/>
    <w:rsid w:val="00C864C6"/>
    <w:rsid w:val="00C9797E"/>
    <w:rsid w:val="00CA1A4A"/>
    <w:rsid w:val="00CB16DE"/>
    <w:rsid w:val="00CC060F"/>
    <w:rsid w:val="00CC1E54"/>
    <w:rsid w:val="00CC34B4"/>
    <w:rsid w:val="00CC4F35"/>
    <w:rsid w:val="00CE3FFF"/>
    <w:rsid w:val="00CF1A31"/>
    <w:rsid w:val="00D02007"/>
    <w:rsid w:val="00D021B7"/>
    <w:rsid w:val="00D179DD"/>
    <w:rsid w:val="00D3642E"/>
    <w:rsid w:val="00D37DC1"/>
    <w:rsid w:val="00D527E5"/>
    <w:rsid w:val="00D54F3F"/>
    <w:rsid w:val="00D65408"/>
    <w:rsid w:val="00D723B1"/>
    <w:rsid w:val="00D8247B"/>
    <w:rsid w:val="00D9201B"/>
    <w:rsid w:val="00D957CC"/>
    <w:rsid w:val="00D96417"/>
    <w:rsid w:val="00DB2C76"/>
    <w:rsid w:val="00DB509A"/>
    <w:rsid w:val="00DC194C"/>
    <w:rsid w:val="00DE03DA"/>
    <w:rsid w:val="00DE1F78"/>
    <w:rsid w:val="00DE2F4A"/>
    <w:rsid w:val="00E00EE3"/>
    <w:rsid w:val="00E10334"/>
    <w:rsid w:val="00E157E6"/>
    <w:rsid w:val="00E1687E"/>
    <w:rsid w:val="00E3213F"/>
    <w:rsid w:val="00E336EE"/>
    <w:rsid w:val="00E3417E"/>
    <w:rsid w:val="00E40B14"/>
    <w:rsid w:val="00E738E9"/>
    <w:rsid w:val="00E761F3"/>
    <w:rsid w:val="00E84EE3"/>
    <w:rsid w:val="00E87912"/>
    <w:rsid w:val="00E912AD"/>
    <w:rsid w:val="00EA0545"/>
    <w:rsid w:val="00EA20AC"/>
    <w:rsid w:val="00EB57B9"/>
    <w:rsid w:val="00EB74AA"/>
    <w:rsid w:val="00EC2F2C"/>
    <w:rsid w:val="00ED75D9"/>
    <w:rsid w:val="00EE0CEF"/>
    <w:rsid w:val="00EF3A9C"/>
    <w:rsid w:val="00EF698D"/>
    <w:rsid w:val="00F04923"/>
    <w:rsid w:val="00F0627F"/>
    <w:rsid w:val="00F11EFD"/>
    <w:rsid w:val="00F17C48"/>
    <w:rsid w:val="00F201A4"/>
    <w:rsid w:val="00F258BC"/>
    <w:rsid w:val="00F26BEE"/>
    <w:rsid w:val="00F31A3A"/>
    <w:rsid w:val="00F41485"/>
    <w:rsid w:val="00F630CE"/>
    <w:rsid w:val="00F758A2"/>
    <w:rsid w:val="00F86936"/>
    <w:rsid w:val="00F94737"/>
    <w:rsid w:val="00FA11E9"/>
    <w:rsid w:val="00FA670D"/>
    <w:rsid w:val="00FB4FF0"/>
    <w:rsid w:val="00FC35F2"/>
    <w:rsid w:val="00FC5E19"/>
    <w:rsid w:val="00FD11F0"/>
    <w:rsid w:val="00FE1F8E"/>
    <w:rsid w:val="00FF1819"/>
    <w:rsid w:val="00FF38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AB"/>
  </w:style>
  <w:style w:type="paragraph" w:styleId="Heading1">
    <w:name w:val="heading 1"/>
    <w:basedOn w:val="Normal"/>
    <w:link w:val="Heading1Char"/>
    <w:uiPriority w:val="9"/>
    <w:qFormat/>
    <w:rsid w:val="00F04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49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4923"/>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unhideWhenUsed/>
    <w:rsid w:val="00F04923"/>
    <w:pPr>
      <w:spacing w:after="0" w:line="240" w:lineRule="auto"/>
    </w:pPr>
    <w:rPr>
      <w:sz w:val="20"/>
      <w:szCs w:val="20"/>
    </w:rPr>
  </w:style>
  <w:style w:type="character" w:customStyle="1" w:styleId="FootnoteTextChar">
    <w:name w:val="Footnote Text Char"/>
    <w:basedOn w:val="DefaultParagraphFont"/>
    <w:link w:val="FootnoteText"/>
    <w:uiPriority w:val="99"/>
    <w:rsid w:val="00F04923"/>
    <w:rPr>
      <w:sz w:val="20"/>
      <w:szCs w:val="20"/>
    </w:rPr>
  </w:style>
  <w:style w:type="character" w:styleId="FootnoteReference">
    <w:name w:val="footnote reference"/>
    <w:basedOn w:val="DefaultParagraphFont"/>
    <w:uiPriority w:val="99"/>
    <w:semiHidden/>
    <w:unhideWhenUsed/>
    <w:rsid w:val="00F04923"/>
    <w:rPr>
      <w:vertAlign w:val="superscript"/>
    </w:rPr>
  </w:style>
  <w:style w:type="paragraph" w:styleId="HTMLPreformatted">
    <w:name w:val="HTML Preformatted"/>
    <w:basedOn w:val="Normal"/>
    <w:link w:val="HTMLPreformattedChar"/>
    <w:uiPriority w:val="99"/>
    <w:unhideWhenUsed/>
    <w:rsid w:val="00F0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4923"/>
    <w:rPr>
      <w:rFonts w:ascii="Courier New" w:eastAsia="Times New Roman" w:hAnsi="Courier New" w:cs="Courier New"/>
      <w:sz w:val="20"/>
      <w:szCs w:val="20"/>
    </w:rPr>
  </w:style>
  <w:style w:type="character" w:styleId="Hyperlink">
    <w:name w:val="Hyperlink"/>
    <w:basedOn w:val="DefaultParagraphFont"/>
    <w:uiPriority w:val="99"/>
    <w:unhideWhenUsed/>
    <w:rsid w:val="00F04923"/>
    <w:rPr>
      <w:color w:val="0000FF"/>
      <w:u w:val="single"/>
    </w:rPr>
  </w:style>
  <w:style w:type="paragraph" w:styleId="NormalWeb">
    <w:name w:val="Normal (Web)"/>
    <w:basedOn w:val="Normal"/>
    <w:uiPriority w:val="99"/>
    <w:unhideWhenUsed/>
    <w:rsid w:val="00F04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923"/>
    <w:rPr>
      <w:i/>
      <w:iCs/>
    </w:rPr>
  </w:style>
  <w:style w:type="character" w:styleId="Strong">
    <w:name w:val="Strong"/>
    <w:basedOn w:val="DefaultParagraphFont"/>
    <w:uiPriority w:val="22"/>
    <w:qFormat/>
    <w:rsid w:val="00F04923"/>
    <w:rPr>
      <w:b/>
      <w:bCs/>
    </w:rPr>
  </w:style>
  <w:style w:type="character" w:customStyle="1" w:styleId="tlid-translation">
    <w:name w:val="tlid-translation"/>
    <w:basedOn w:val="DefaultParagraphFont"/>
    <w:rsid w:val="00F04923"/>
  </w:style>
  <w:style w:type="character" w:customStyle="1" w:styleId="titol">
    <w:name w:val="titol"/>
    <w:basedOn w:val="DefaultParagraphFont"/>
    <w:rsid w:val="00F04923"/>
  </w:style>
  <w:style w:type="character" w:customStyle="1" w:styleId="yiv6104317273ydp17725067tlid-translation">
    <w:name w:val="yiv6104317273ydp17725067tlid-translation"/>
    <w:basedOn w:val="DefaultParagraphFont"/>
    <w:rsid w:val="00F04923"/>
  </w:style>
  <w:style w:type="character" w:customStyle="1" w:styleId="yiv6104317273ydp45fc166ctlid-translation">
    <w:name w:val="yiv6104317273ydp45fc166ctlid-translation"/>
    <w:basedOn w:val="DefaultParagraphFont"/>
    <w:rsid w:val="00F04923"/>
  </w:style>
  <w:style w:type="paragraph" w:styleId="ListParagraph">
    <w:name w:val="List Paragraph"/>
    <w:basedOn w:val="Normal"/>
    <w:uiPriority w:val="34"/>
    <w:qFormat/>
    <w:rsid w:val="00F04923"/>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C9797E"/>
    <w:rPr>
      <w:color w:val="800080" w:themeColor="followedHyperlink"/>
      <w:u w:val="single"/>
    </w:rPr>
  </w:style>
  <w:style w:type="paragraph" w:styleId="EndnoteText">
    <w:name w:val="endnote text"/>
    <w:basedOn w:val="Normal"/>
    <w:link w:val="EndnoteTextChar"/>
    <w:uiPriority w:val="99"/>
    <w:semiHidden/>
    <w:unhideWhenUsed/>
    <w:rsid w:val="006903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309"/>
    <w:rPr>
      <w:sz w:val="20"/>
      <w:szCs w:val="20"/>
    </w:rPr>
  </w:style>
  <w:style w:type="character" w:styleId="EndnoteReference">
    <w:name w:val="endnote reference"/>
    <w:basedOn w:val="DefaultParagraphFont"/>
    <w:uiPriority w:val="99"/>
    <w:semiHidden/>
    <w:unhideWhenUsed/>
    <w:rsid w:val="00690309"/>
    <w:rPr>
      <w:vertAlign w:val="superscript"/>
    </w:rPr>
  </w:style>
</w:styles>
</file>

<file path=word/webSettings.xml><?xml version="1.0" encoding="utf-8"?>
<w:webSettings xmlns:r="http://schemas.openxmlformats.org/officeDocument/2006/relationships" xmlns:w="http://schemas.openxmlformats.org/wordprocessingml/2006/main">
  <w:divs>
    <w:div w:id="1325936855">
      <w:bodyDiv w:val="1"/>
      <w:marLeft w:val="0"/>
      <w:marRight w:val="0"/>
      <w:marTop w:val="0"/>
      <w:marBottom w:val="0"/>
      <w:divBdr>
        <w:top w:val="none" w:sz="0" w:space="0" w:color="auto"/>
        <w:left w:val="none" w:sz="0" w:space="0" w:color="auto"/>
        <w:bottom w:val="none" w:sz="0" w:space="0" w:color="auto"/>
        <w:right w:val="none" w:sz="0" w:space="0" w:color="auto"/>
      </w:divBdr>
      <w:divsChild>
        <w:div w:id="44641664">
          <w:marLeft w:val="0"/>
          <w:marRight w:val="0"/>
          <w:marTop w:val="0"/>
          <w:marBottom w:val="163"/>
          <w:divBdr>
            <w:top w:val="none" w:sz="0" w:space="0" w:color="auto"/>
            <w:left w:val="none" w:sz="0" w:space="0" w:color="auto"/>
            <w:bottom w:val="none" w:sz="0" w:space="0" w:color="auto"/>
            <w:right w:val="none" w:sz="0" w:space="0" w:color="auto"/>
          </w:divBdr>
          <w:divsChild>
            <w:div w:id="942568863">
              <w:marLeft w:val="0"/>
              <w:marRight w:val="0"/>
              <w:marTop w:val="0"/>
              <w:marBottom w:val="0"/>
              <w:divBdr>
                <w:top w:val="none" w:sz="0" w:space="0" w:color="auto"/>
                <w:left w:val="none" w:sz="0" w:space="0" w:color="auto"/>
                <w:bottom w:val="none" w:sz="0" w:space="0" w:color="auto"/>
                <w:right w:val="none" w:sz="0" w:space="0" w:color="auto"/>
              </w:divBdr>
              <w:divsChild>
                <w:div w:id="39403462">
                  <w:marLeft w:val="0"/>
                  <w:marRight w:val="0"/>
                  <w:marTop w:val="0"/>
                  <w:marBottom w:val="0"/>
                  <w:divBdr>
                    <w:top w:val="none" w:sz="0" w:space="0" w:color="auto"/>
                    <w:left w:val="none" w:sz="0" w:space="0" w:color="auto"/>
                    <w:bottom w:val="none" w:sz="0" w:space="0" w:color="auto"/>
                    <w:right w:val="none" w:sz="0" w:space="0" w:color="auto"/>
                  </w:divBdr>
                  <w:divsChild>
                    <w:div w:id="268195623">
                      <w:marLeft w:val="0"/>
                      <w:marRight w:val="0"/>
                      <w:marTop w:val="0"/>
                      <w:marBottom w:val="0"/>
                      <w:divBdr>
                        <w:top w:val="none" w:sz="0" w:space="0" w:color="auto"/>
                        <w:left w:val="none" w:sz="0" w:space="0" w:color="auto"/>
                        <w:bottom w:val="none" w:sz="0" w:space="0" w:color="auto"/>
                        <w:right w:val="none" w:sz="0" w:space="0" w:color="auto"/>
                      </w:divBdr>
                      <w:divsChild>
                        <w:div w:id="921719868">
                          <w:marLeft w:val="0"/>
                          <w:marRight w:val="0"/>
                          <w:marTop w:val="0"/>
                          <w:marBottom w:val="0"/>
                          <w:divBdr>
                            <w:top w:val="none" w:sz="0" w:space="0" w:color="auto"/>
                            <w:left w:val="none" w:sz="0" w:space="0" w:color="auto"/>
                            <w:bottom w:val="none" w:sz="0" w:space="0" w:color="auto"/>
                            <w:right w:val="none" w:sz="0" w:space="0" w:color="auto"/>
                          </w:divBdr>
                          <w:divsChild>
                            <w:div w:id="468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425">
          <w:marLeft w:val="0"/>
          <w:marRight w:val="0"/>
          <w:marTop w:val="0"/>
          <w:marBottom w:val="163"/>
          <w:divBdr>
            <w:top w:val="none" w:sz="0" w:space="0" w:color="auto"/>
            <w:left w:val="none" w:sz="0" w:space="0" w:color="auto"/>
            <w:bottom w:val="none" w:sz="0" w:space="0" w:color="auto"/>
            <w:right w:val="none" w:sz="0" w:space="0" w:color="auto"/>
          </w:divBdr>
          <w:divsChild>
            <w:div w:id="781801751">
              <w:marLeft w:val="0"/>
              <w:marRight w:val="0"/>
              <w:marTop w:val="0"/>
              <w:marBottom w:val="0"/>
              <w:divBdr>
                <w:top w:val="none" w:sz="0" w:space="0" w:color="auto"/>
                <w:left w:val="none" w:sz="0" w:space="0" w:color="auto"/>
                <w:bottom w:val="none" w:sz="0" w:space="0" w:color="auto"/>
                <w:right w:val="none" w:sz="0" w:space="0" w:color="auto"/>
              </w:divBdr>
              <w:divsChild>
                <w:div w:id="1437560237">
                  <w:marLeft w:val="0"/>
                  <w:marRight w:val="0"/>
                  <w:marTop w:val="0"/>
                  <w:marBottom w:val="0"/>
                  <w:divBdr>
                    <w:top w:val="none" w:sz="0" w:space="0" w:color="auto"/>
                    <w:left w:val="none" w:sz="0" w:space="0" w:color="auto"/>
                    <w:bottom w:val="none" w:sz="0" w:space="0" w:color="auto"/>
                    <w:right w:val="none" w:sz="0" w:space="0" w:color="auto"/>
                  </w:divBdr>
                  <w:divsChild>
                    <w:div w:id="1689481877">
                      <w:marLeft w:val="0"/>
                      <w:marRight w:val="0"/>
                      <w:marTop w:val="0"/>
                      <w:marBottom w:val="0"/>
                      <w:divBdr>
                        <w:top w:val="none" w:sz="0" w:space="0" w:color="auto"/>
                        <w:left w:val="none" w:sz="0" w:space="0" w:color="auto"/>
                        <w:bottom w:val="none" w:sz="0" w:space="0" w:color="auto"/>
                        <w:right w:val="none" w:sz="0" w:space="0" w:color="auto"/>
                      </w:divBdr>
                      <w:divsChild>
                        <w:div w:id="426460851">
                          <w:marLeft w:val="0"/>
                          <w:marRight w:val="0"/>
                          <w:marTop w:val="0"/>
                          <w:marBottom w:val="0"/>
                          <w:divBdr>
                            <w:top w:val="none" w:sz="0" w:space="0" w:color="auto"/>
                            <w:left w:val="none" w:sz="0" w:space="0" w:color="auto"/>
                            <w:bottom w:val="none" w:sz="0" w:space="0" w:color="auto"/>
                            <w:right w:val="none" w:sz="0" w:space="0" w:color="auto"/>
                          </w:divBdr>
                          <w:divsChild>
                            <w:div w:id="2310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justiz.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keus.fi/en/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line.org/documents/action/popup/id/6203" TargetMode="External"/><Relationship Id="rId13" Type="http://schemas.openxmlformats.org/officeDocument/2006/relationships/hyperlink" Target="http://www.droitbelge.be/codes.asp" TargetMode="External"/><Relationship Id="rId18" Type="http://schemas.openxmlformats.org/officeDocument/2006/relationships/hyperlink" Target="https://e-justice.europa.eu/content_small_claims-42-sk-el.do?member=1" TargetMode="External"/><Relationship Id="rId26" Type="http://schemas.openxmlformats.org/officeDocument/2006/relationships/hyperlink" Target="https://www.repository.utl.pt/bitstream/10400.5/11261/1/DM-DFSL-2013.pdf" TargetMode="External"/><Relationship Id="rId39" Type="http://schemas.openxmlformats.org/officeDocument/2006/relationships/hyperlink" Target="https://ddd.uab.cat/search?f=title&amp;p=The%20e-Sentencias%20prototype%20a%20procedural%20ontology%20for%20legal%20multimedia%20applications%20in%20the%20Spanish%20Civil%20Courts&amp;sc=1&amp;ln=ca" TargetMode="External"/><Relationship Id="rId3" Type="http://schemas.openxmlformats.org/officeDocument/2006/relationships/hyperlink" Target="https://webstat.giustizia.it/Analisi%20e%20ricerche/La%20litigiosit%C3%A0%20presso%20i%20giudici%20di%20pace.pdf" TargetMode="External"/><Relationship Id="rId21" Type="http://schemas.openxmlformats.org/officeDocument/2006/relationships/hyperlink" Target="https://www.formulaires.modernisation.gouv.fr/gf/cerfa_11764.do" TargetMode="External"/><Relationship Id="rId34" Type="http://schemas.openxmlformats.org/officeDocument/2006/relationships/hyperlink" Target="https://www.nyulawglobal.org/globalex/Lithuania1.html" TargetMode="External"/><Relationship Id="rId42" Type="http://schemas.openxmlformats.org/officeDocument/2006/relationships/hyperlink" Target="https://ssrn.com/abstract=1314727" TargetMode="External"/><Relationship Id="rId7" Type="http://schemas.openxmlformats.org/officeDocument/2006/relationships/hyperlink" Target="https://e-justice.europa.eu/content_small_claims-42-bg-el.do?member=1" TargetMode="External"/><Relationship Id="rId12" Type="http://schemas.openxmlformats.org/officeDocument/2006/relationships/hyperlink" Target="https://e-justice.europa.eu/content_order_for_payment_procedures-41-cz-el.do?member=1" TargetMode="External"/><Relationship Id="rId17" Type="http://schemas.openxmlformats.org/officeDocument/2006/relationships/hyperlink" Target="https://nl.wikipedia.org/w/index.php?title=EKantonrechter&amp;action=edit&amp;redlink=1" TargetMode="External"/><Relationship Id="rId25" Type="http://schemas.openxmlformats.org/officeDocument/2006/relationships/hyperlink" Target="http://ot11ot2.it/comitato-di-pilotaggio/catalogo-esperienze/estensione-del-processo-civile-telematico-ai-giudici-di" TargetMode="External"/><Relationship Id="rId33" Type="http://schemas.openxmlformats.org/officeDocument/2006/relationships/hyperlink" Target="http://www.teismai.lt/en/" TargetMode="External"/><Relationship Id="rId38" Type="http://schemas.openxmlformats.org/officeDocument/2006/relationships/hyperlink" Target="http://www.courts.ie/Courts.ie/Library3.nsf/pagecurrent/3EB43CC487572EF280257FB20055BE83?opendocument&amp;l=en" TargetMode="External"/><Relationship Id="rId2" Type="http://schemas.openxmlformats.org/officeDocument/2006/relationships/hyperlink" Target="http://www.kostasbeys.gr/articles.php?s=4&amp;mid=1096&amp;mnu=1&amp;id=19542" TargetMode="External"/><Relationship Id="rId16" Type="http://schemas.openxmlformats.org/officeDocument/2006/relationships/hyperlink" Target="https://e-justice.europa.eu/content_order_for_payment_procedures-41-hu-el.do?member=1" TargetMode="External"/><Relationship Id="rId20" Type="http://schemas.openxmlformats.org/officeDocument/2006/relationships/hyperlink" Target="https://portal.justiz.gv.at/at.gv.justiz.formulare/Justiz/Geldleistung.aspx" TargetMode="External"/><Relationship Id="rId29" Type="http://schemas.openxmlformats.org/officeDocument/2006/relationships/hyperlink" Target="https://www.finlex.fi/en/laki/kaannokset/1734/en17340004_20150732.pdf" TargetMode="External"/><Relationship Id="rId41" Type="http://schemas.openxmlformats.org/officeDocument/2006/relationships/hyperlink" Target="http://www.domstol.se/Ladda-ner--bestall/Blanketter/Stamning-svaromal/Ansokan-om-stamning---DV-161/" TargetMode="External"/><Relationship Id="rId1" Type="http://schemas.openxmlformats.org/officeDocument/2006/relationships/hyperlink" Target="https://eur-lex.europa.eu/legal-content/EL/TXT/PDF/?uri=CELEX:52002DC0746&amp;from=IT" TargetMode="External"/><Relationship Id="rId6" Type="http://schemas.openxmlformats.org/officeDocument/2006/relationships/hyperlink" Target="http://www.esdi.gr/nex/images/stories/pdf/epimorfosi/2018/tzounakou.pdf),%20&#964;&#951;&#957;" TargetMode="External"/><Relationship Id="rId11" Type="http://schemas.openxmlformats.org/officeDocument/2006/relationships/hyperlink" Target="https://is.muni.cz/el/1422/jaro2008/SOC026/um/99-1963_EN.pdf" TargetMode="External"/><Relationship Id="rId24" Type="http://schemas.openxmlformats.org/officeDocument/2006/relationships/hyperlink" Target="https://www.mahngerichte.de/" TargetMode="External"/><Relationship Id="rId32" Type="http://schemas.openxmlformats.org/officeDocument/2006/relationships/hyperlink" Target="https://e-justice.europa.eu/content_small_claims-42-lv-el.do?member=1" TargetMode="External"/><Relationship Id="rId37" Type="http://schemas.openxmlformats.org/officeDocument/2006/relationships/hyperlink" Target="http://www.courts.ie/courts.ie/library3.nsf/pagecurrent/A9C6E93D70127EF38025810D0034EAD6?opendocument&amp;l=en" TargetMode="External"/><Relationship Id="rId40" Type="http://schemas.openxmlformats.org/officeDocument/2006/relationships/hyperlink" Target="http://www.poderjudicial.es/cgpj/es/Servicios/Atencion-Ciudadana/Modelos-normalizados/El-juicio-verbal-" TargetMode="External"/><Relationship Id="rId5" Type="http://schemas.openxmlformats.org/officeDocument/2006/relationships/hyperlink" Target="https://ssrn.com/abstract=1314727" TargetMode="External"/><Relationship Id="rId15" Type="http://schemas.openxmlformats.org/officeDocument/2006/relationships/hyperlink" Target="https://justice.public.lu/dam-assets/fr/formulaires/ordonnance-paiement-justice-paix/requete-ordonnance-de-paiement.pdf" TargetMode="External"/><Relationship Id="rId23" Type="http://schemas.openxmlformats.org/officeDocument/2006/relationships/hyperlink" Target="http://www.gesetze-im-internet.de/englisch_gvg/" TargetMode="External"/><Relationship Id="rId28" Type="http://schemas.openxmlformats.org/officeDocument/2006/relationships/hyperlink" Target="https://dre.pt/pesquisa/-/search/566629/details/maximized" TargetMode="External"/><Relationship Id="rId36" Type="http://schemas.openxmlformats.org/officeDocument/2006/relationships/hyperlink" Target="http://www.domstol.se/Ladda-ner--bestall/Blanketter/Stamning-svaromal/Ansokan-om-stamning---DV-161/" TargetMode="External"/><Relationship Id="rId10" Type="http://schemas.openxmlformats.org/officeDocument/2006/relationships/hyperlink" Target="https://e-justice.europa.eu/content_order_for_payment_procedures-41-cy-el.do?member=1" TargetMode="External"/><Relationship Id="rId19" Type="http://schemas.openxmlformats.org/officeDocument/2006/relationships/hyperlink" Target="https://www.pf.um.si/site/assets/files/3247/avstrija.pdf" TargetMode="External"/><Relationship Id="rId31" Type="http://schemas.openxmlformats.org/officeDocument/2006/relationships/hyperlink" Target="https://www.tiesas.lv/" TargetMode="External"/><Relationship Id="rId4" Type="http://schemas.openxmlformats.org/officeDocument/2006/relationships/hyperlink" Target="https://nbn-resolving.org/urn:nbn:de:0168-ssoar-62442-3" TargetMode="External"/><Relationship Id="rId9" Type="http://schemas.openxmlformats.org/officeDocument/2006/relationships/hyperlink" Target="https://e-justice.europa.eu/content_small_claims-42-cy-el.do?init=true&amp;member=1" TargetMode="External"/><Relationship Id="rId14" Type="http://schemas.openxmlformats.org/officeDocument/2006/relationships/hyperlink" Target="http://legilux.public.lu/eli/etat/leg/code/procedure_civile/20190101" TargetMode="External"/><Relationship Id="rId22" Type="http://schemas.openxmlformats.org/officeDocument/2006/relationships/hyperlink" Target="https://www.tovima.gr/2009/03/14/opinions/to-oikogeneiako-dikastirio-mia-riksikeleythi-metarrythmisi/" TargetMode="External"/><Relationship Id="rId27" Type="http://schemas.openxmlformats.org/officeDocument/2006/relationships/hyperlink" Target="https://dre.pt/pesquisa/-/search/388220/details/maximized" TargetMode="External"/><Relationship Id="rId30" Type="http://schemas.openxmlformats.org/officeDocument/2006/relationships/hyperlink" Target="https://e-justice.europa.eu/content_order_for_payment_procedures-41-fi-el.do?init=true&amp;member=1" TargetMode="External"/><Relationship Id="rId35" Type="http://schemas.openxmlformats.org/officeDocument/2006/relationships/hyperlink" Target="https://ecourts.gov.mt/onlin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3D49-12B5-427A-86DD-D8F5B28A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24</Pages>
  <Words>3535</Words>
  <Characters>19095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Lamogio</dc:creator>
  <cp:lastModifiedBy>Lamogio</cp:lastModifiedBy>
  <cp:revision>32</cp:revision>
  <dcterms:created xsi:type="dcterms:W3CDTF">2019-09-29T08:26:00Z</dcterms:created>
  <dcterms:modified xsi:type="dcterms:W3CDTF">2019-09-30T19:55:00Z</dcterms:modified>
</cp:coreProperties>
</file>